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65/2006/QĐ-BTC Về việc ban hành mức trích nộp phí bảo đảm hàng hải đối với luồng hàng hải do doanh nghiệp đầu tư, khai thác.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w:t>
            </w:r>
            <w:r>
              <w:rPr>
                <w:b w:val="0"/>
                <w:i w:val="0"/>
              </w:rPr>
              <w:br/>
            </w:r>
            <w:r>
              <w:rPr>
                <w:b w:val="0"/>
                <w:i w:val="0"/>
              </w:rPr>
              <w:t>Số: 65/2006/QĐ-BTC</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i w:val="0"/>
              </w:rPr>
              <w:t>_________</w:t>
            </w:r>
            <w:r>
              <w:rPr>
                <w:b w:val="0"/>
                <w:i w:val="0"/>
              </w:rPr>
              <w:br/>
            </w:r>
            <w:r>
              <w:rPr>
                <w:b w:val="0"/>
                <w:i w:val="0"/>
              </w:rPr>
              <w:br/>
            </w:r>
            <w:r>
              <w:rPr>
                <w:b w:val="0"/>
                <w:i w:val="0"/>
              </w:rPr>
              <w:br/>
            </w:r>
            <w:r>
              <w:rPr>
                <w:b w:val="0"/>
                <w:i/>
              </w:rPr>
              <w:t>Hà Nội, Ngày 14 tháng 11 năm 2006</w:t>
            </w:r>
            <w:r>
              <w:rPr>
                <w:b w:val="0"/>
                <w:i w:val="0"/>
              </w:rPr>
              <w:br/>
            </w:r>
          </w:p>
        </w:tc>
      </w:tr>
    </w:tbl>
    <w:p>
      <w:r>
        <w:rPr>
          <w:b/>
          <w:i w:val="0"/>
        </w:rPr>
        <w:t>QUYẾT ĐỊNH</w:t>
      </w:r>
    </w:p>
    <w:p>
      <w:r>
        <w:rPr>
          <w:b/>
          <w:i w:val="0"/>
        </w:rPr>
        <w:t xml:space="preserve">Về việc ban hành mức trích nộp phí bảo đảm </w:t>
      </w:r>
    </w:p>
    <w:p>
      <w:r>
        <w:rPr>
          <w:b/>
          <w:i w:val="0"/>
        </w:rPr>
        <w:t>hàng hải đối với luồng hàng hải do doanh nghiệp đầu tư, khai thác</w:t>
      </w:r>
    </w:p>
    <w:p>
      <w:r>
        <w:rPr>
          <w:b/>
          <w:i w:val="0"/>
        </w:rPr>
        <w:t>_______________</w:t>
      </w:r>
      <w:r>
        <w:rPr>
          <w:b w:val="0"/>
          <w:i w:val="0"/>
        </w:rPr>
        <w:t xml:space="preserve"> </w:t>
      </w:r>
    </w:p>
    <w:p>
      <w:r>
        <w:rPr>
          <w:b/>
          <w:i w:val="0"/>
        </w:rPr>
        <w:t>BỘ TRƯỞNG BỘ TÀI CHÍNH</w:t>
      </w:r>
    </w:p>
    <w:p>
      <w:r>
        <w:rPr>
          <w:b w:val="0"/>
          <w:i/>
        </w:rPr>
        <w:t>Căn cứ Pháp lệnh Phí và lệ phí;</w:t>
      </w:r>
    </w:p>
    <w:p>
      <w:r>
        <w:rPr>
          <w:b w:val="0"/>
          <w:i/>
        </w:rPr>
        <w:t>Căn cứ Nghị định số 77/2003/NĐ-CP ngày 01 tháng 7 năm 2003 của Chính phủ quy định chức năng, nhiệm vụ, quyền hạn và cơ cấu tổ chức của Bộ Tài chính;</w:t>
      </w:r>
    </w:p>
    <w:p>
      <w:r>
        <w:rPr>
          <w:b w:val="0"/>
          <w:i/>
        </w:rPr>
        <w:t>Căn cứ Nghị định số 71/2006/NĐ-CP ngày 25 tháng 7 năm 2006 của Chính phủ về quản lý cảng biển và luồng hàng hải;</w:t>
      </w:r>
    </w:p>
    <w:p>
      <w:r>
        <w:rPr>
          <w:b w:val="0"/>
          <w:i/>
        </w:rPr>
        <w:t>Căn cứ ý kiến của Bộ Giao thông vận tải tại công văn số 6388/BGTVT-VT ngày 18 tháng 10 năm 2006;</w:t>
      </w:r>
    </w:p>
    <w:p>
      <w:r>
        <w:rPr>
          <w:b w:val="0"/>
          <w:i/>
        </w:rPr>
        <w:t>Theo đề nghị của Cục trưởng Cục Tài chính doanh nghiệp.</w:t>
      </w:r>
    </w:p>
    <w:p>
      <w:r>
        <w:rPr>
          <w:b/>
          <w:i w:val="0"/>
        </w:rPr>
        <w:t>QUYẾT ĐỊNH</w:t>
      </w:r>
    </w:p>
    <w:p>
      <w:r>
        <w:rPr>
          <w:b/>
          <w:i w:val="0"/>
        </w:rPr>
        <w:t xml:space="preserve">Điều 1. </w:t>
      </w:r>
      <w:r>
        <w:rPr>
          <w:b w:val="0"/>
          <w:i w:val="0"/>
        </w:rPr>
        <w:t>Doanh nghiệp có luồng hàng hải tự đầu tư, khai thác được thu phí bảo đảm hàng hải theo mức thu quy định của Nhà nước đối với các tàu, thuyền ra, vào trên luồng hàng hải của doanh nghiệp và có thể ủy quyền cho Cảng vụ hàng hải tại khu vực thu hộ phí bảo đảm hàng hải.</w:t>
      </w:r>
    </w:p>
    <w:p>
      <w:r>
        <w:rPr>
          <w:b/>
          <w:i w:val="0"/>
        </w:rPr>
        <w:t xml:space="preserve">Điều 2. </w:t>
      </w:r>
      <w:r>
        <w:rPr>
          <w:b w:val="0"/>
          <w:i w:val="0"/>
        </w:rPr>
        <w:t>Doanh nghiệp có luồng hàng hải tự đầu tư, khai thác có trách nhiệm trích nộp 30% tổng số thu phí bảo đảm hàng hải hàng năm tại luồng hàng hải của doanh nghiệp để đóng góp vào công tác bảo đảm an toàn hàng hải chung quốc gia.</w:t>
      </w:r>
    </w:p>
    <w:p>
      <w:r>
        <w:rPr>
          <w:b/>
          <w:i w:val="0"/>
        </w:rPr>
        <w:t xml:space="preserve">Điều 3. </w:t>
      </w:r>
      <w:r>
        <w:rPr>
          <w:b w:val="0"/>
          <w:i w:val="0"/>
        </w:rPr>
        <w:t>Căn cứ vào số lượng tàu thuỷ được cấp phép ra, vào tại luồng hàng hải, Cảng vụ hàng hải thông báo số phải trích nộp tại mỗi luồng, thông báo cho các doanh nghiệp quản lý luồng hàng hải và có trách nhiệm thu hộ để chuyển cho các Công ty Bảo đảm an toàn hàng hải theo quy định hiện hành.</w:t>
      </w:r>
    </w:p>
    <w:p>
      <w:r>
        <w:rPr>
          <w:b/>
          <w:i w:val="0"/>
        </w:rPr>
        <w:t xml:space="preserve">Điều 4. </w:t>
      </w:r>
      <w:r>
        <w:rPr>
          <w:b w:val="0"/>
          <w:i w:val="0"/>
        </w:rPr>
        <w:t>Quyết định này có hiệu lực thi hành từ ngày 01/01/2007. Tổ chức, cá nhân thuộc đối tượng nộp phí, lệ phí hàng hải; Cơ quan, tổ chức thu phí, lệ phí hàng hải và các đơn vị có liên quan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Xuân Hà</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Xuân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