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65/2014/QĐ-UBND Về việc sửa đổi, bổ sung Danh mục các thôn đủ điều kiện để xét duyệt</w:t>
        <w:br/>
        <w:t>học sinh bán trú ban hành kèm theo Quyết định số 15/2012/QĐ-UBND</w:t>
        <w:br/>
        <w:t>ngày 22/3/2012 của UBND Ninh Thuận về việc ban hành quy định</w:t>
        <w:br/>
        <w:t>tiêu chí xét duyệt học sinh bán trú trên địa bàn tỉnh Ninh Thuận</w:t>
      </w:r>
    </w:p>
    <w:p>
      <w:r>
        <w:rPr>
          <w:b w:val="0"/>
          <w:i w:val="0"/>
        </w:rPr>
        <w:br/>
      </w:r>
      <w:r>
        <w:rPr>
          <w:b w:val="0"/>
          <w:i w:val="0"/>
        </w:rPr>
        <w:br/>
      </w:r>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65/2014/QĐ-UBND</w:t>
      </w:r>
      <w:r>
        <w:rPr>
          <w:b w:val="0"/>
          <w:i w:val="0"/>
        </w:rPr>
        <w:br/>
      </w:r>
      <w:r>
        <w:rPr>
          <w:b w:val="0"/>
          <w:i w:val="0"/>
        </w:rPr>
        <w:br/>
      </w:r>
      <w:r>
        <w:rPr>
          <w:b w:val="0"/>
          <w:i/>
        </w:rPr>
        <w:br/>
      </w:r>
      <w:r>
        <w:rPr>
          <w:b w:val="0"/>
          <w:i/>
        </w:rPr>
        <w:t xml:space="preserve">Ninh Thuận, ngày 21 tháng 8 năm 2014 </w:t>
      </w:r>
      <w:r>
        <w:rPr>
          <w:b w:val="0"/>
          <w:i/>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65/2014/QĐ-UBND</w:t>
      </w:r>
      <w:r>
        <w:rPr>
          <w:b w:val="0"/>
          <w:i w:val="0"/>
        </w:rPr>
        <w:br/>
      </w:r>
      <w:r>
        <w:rPr>
          <w:b w:val="0"/>
          <w:i w:val="0"/>
        </w:rPr>
        <w:br/>
      </w:r>
      <w:r>
        <w:rPr>
          <w:b w:val="0"/>
          <w:i/>
        </w:rPr>
        <w:br/>
      </w:r>
      <w:r>
        <w:rPr>
          <w:b w:val="0"/>
          <w:i/>
        </w:rPr>
        <w:t xml:space="preserve">Ninh Thuận, ngày 21 tháng 8 năm 2014 </w:t>
      </w:r>
      <w:r>
        <w:rPr>
          <w:b w:val="0"/>
          <w:i/>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NINH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NINH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65/2014/QĐ-UBND</w:t>
      </w:r>
      <w:r>
        <w:rPr>
          <w:b w:val="0"/>
          <w:i w:val="0"/>
        </w:rPr>
        <w:br/>
      </w:r>
      <w:r>
        <w:rPr>
          <w:b w:val="0"/>
          <w:i w:val="0"/>
        </w:rPr>
        <w:br/>
      </w:r>
      <w:r>
        <w:rPr>
          <w:b w:val="0"/>
          <w:i/>
        </w:rPr>
        <w:br/>
      </w:r>
      <w:r>
        <w:rPr>
          <w:b w:val="0"/>
          <w:i/>
        </w:rPr>
        <w:t xml:space="preserve">Ninh Thuận, ngày 21 tháng 8 năm 2014 </w:t>
      </w:r>
      <w:r>
        <w:rPr>
          <w:b w:val="0"/>
          <w:i/>
        </w:rPr>
        <w:br/>
      </w:r>
      <w:r>
        <w:rPr>
          <w:b w:val="0"/>
          <w:i w:val="0"/>
        </w:rPr>
        <w:br/>
      </w:r>
    </w:p>
    <w:p>
      <w:pPr>
        <w:jc w:val="center"/>
      </w:pPr>
      <w:r>
        <w:rPr>
          <w:b w:val="0"/>
          <w:i w:val="0"/>
        </w:rPr>
        <w:br/>
      </w:r>
      <w:r>
        <w:rPr>
          <w:b w:val="0"/>
          <w:i w:val="0"/>
        </w:rPr>
        <w:t>Số: 65/2014/QĐ-UBND</w:t>
      </w:r>
      <w:r>
        <w:rPr>
          <w:b w:val="0"/>
          <w:i w:val="0"/>
        </w:rPr>
        <w:br/>
      </w:r>
    </w:p>
    <w:p>
      <w:pPr>
        <w:jc w:val="center"/>
      </w:pPr>
      <w:r>
        <w:rPr>
          <w:b w:val="0"/>
          <w:i w:val="0"/>
        </w:rPr>
        <w:br/>
      </w:r>
      <w:r>
        <w:rPr>
          <w:b w:val="0"/>
          <w:i w:val="0"/>
        </w:rPr>
        <w:t xml:space="preserve">Ninh Thuận, ngày 21 tháng 8 năm 2014 </w:t>
      </w:r>
      <w:r>
        <w:rPr>
          <w:b w:val="0"/>
          <w:i w:val="0"/>
        </w:rPr>
        <w:br/>
      </w:r>
    </w:p>
    <w:p>
      <w:r>
        <w:rPr>
          <w:b w:val="0"/>
          <w:i w:val="0"/>
        </w:rPr>
        <w:br/>
      </w:r>
      <w:r>
        <w:rPr>
          <w:b/>
          <w:i w:val="0"/>
        </w:rPr>
        <w:t>QUYẾT ĐỊNH</w:t>
      </w:r>
      <w:r>
        <w:rPr>
          <w:b w:val="0"/>
          <w:i w:val="0"/>
        </w:rPr>
        <w:br/>
      </w:r>
      <w:r>
        <w:rPr>
          <w:b/>
          <w:i w:val="0"/>
        </w:rPr>
        <w:t>Về việc sửa đổi, bổ sung Danh mục các thôn đủ điều kiện để xét duyệt</w:t>
      </w:r>
      <w:r>
        <w:rPr>
          <w:b w:val="0"/>
          <w:i w:val="0"/>
        </w:rPr>
        <w:br/>
      </w:r>
      <w:r>
        <w:rPr>
          <w:b/>
          <w:i w:val="0"/>
        </w:rPr>
        <w:t>học sinh bán trú ban hành kèm theo Quyết định số 15/2012/QĐ-UBND</w:t>
      </w:r>
      <w:r>
        <w:rPr>
          <w:b w:val="0"/>
          <w:i w:val="0"/>
        </w:rPr>
        <w:br/>
      </w:r>
      <w:r>
        <w:rPr>
          <w:b/>
          <w:i w:val="0"/>
        </w:rPr>
        <w:t>ngày 22/3/2012 của UBND Ninh Thuận về việc ban hành quy định</w:t>
      </w:r>
      <w:r>
        <w:rPr>
          <w:b w:val="0"/>
          <w:i w:val="0"/>
        </w:rPr>
        <w:br/>
      </w:r>
      <w:r>
        <w:rPr>
          <w:b/>
          <w:i w:val="0"/>
        </w:rPr>
        <w:t>tiêu chí xét duyệt học sinh bán trú trên địa bàn tỉnh Ninh Thuận</w:t>
      </w:r>
      <w:r>
        <w:rPr>
          <w:b w:val="0"/>
          <w:i w:val="0"/>
        </w:rPr>
        <w:br/>
      </w:r>
      <w:r>
        <w:rPr>
          <w:b w:val="0"/>
          <w:i w:val="0"/>
        </w:rPr>
        <w:t xml:space="preserve">  </w:t>
      </w:r>
      <w:r>
        <w:rPr>
          <w:b w:val="0"/>
          <w:i w:val="0"/>
        </w:rPr>
        <w:br/>
      </w:r>
      <w:r>
        <w:rPr>
          <w:b/>
          <w:i w:val="0"/>
        </w:rPr>
        <w:t>ỦY BAN NHÂN DÂN TỈNH NINH THUẬN</w:t>
      </w:r>
      <w:r>
        <w:rPr>
          <w:b w:val="0"/>
          <w:i w:val="0"/>
        </w:rPr>
        <w:t xml:space="preserve"> </w:t>
      </w:r>
      <w:r>
        <w:rPr>
          <w:b w:val="0"/>
          <w:i w:val="0"/>
        </w:rPr>
        <w:br/>
      </w:r>
      <w:r>
        <w:rPr>
          <w:b w:val="0"/>
          <w:i/>
        </w:rPr>
        <w:t>Căn cứ Luật Tổ chức Hội đồng nhân dân và Ủy ban nhân dân ngày 26 tháng 11 năm 2003;</w:t>
      </w:r>
      <w:r>
        <w:rPr>
          <w:b w:val="0"/>
          <w:i w:val="0"/>
        </w:rPr>
        <w:br/>
      </w:r>
      <w:r>
        <w:rPr>
          <w:b w:val="0"/>
          <w:i/>
        </w:rPr>
        <w:t>Căn cứ Luật Ban hành văn bản quy phạm pháp luật của Hội đồng nhân dân, Ủy ban nhân dân năm 2004;</w:t>
      </w:r>
      <w:r>
        <w:rPr>
          <w:b w:val="0"/>
          <w:i w:val="0"/>
        </w:rPr>
        <w:br/>
      </w:r>
      <w:r>
        <w:rPr>
          <w:b w:val="0"/>
          <w:i/>
        </w:rPr>
        <w:t>Căn cứ Quyết định số 85/2010/QĐ-TTg ngày 21 tháng 12 năm 2010 của Thủ tướng Chính phủ về ban hành một số chính sách hỗ trợ học sinh bán trú và trường phổ thông dân tộc bán trú;</w:t>
      </w:r>
      <w:r>
        <w:rPr>
          <w:b w:val="0"/>
          <w:i w:val="0"/>
        </w:rPr>
        <w:br/>
      </w:r>
      <w:r>
        <w:rPr>
          <w:b w:val="0"/>
          <w:i/>
        </w:rPr>
        <w:t>Căn cứ Thông tư liên tịch số 65/2011/TTLT-BGDĐT-BTC-BKHĐT ngày 22 tháng 12 năm 2011 Bộ Giáo dục và Đào tạo, Bộ Tài chính, Bộ Kế hoạch và Đầu tư hướng dẫn thực hiện Quyết định số 85/2010/QĐ-TTg ngày 21 tháng 12 năm 2010 của Thủ tướng Chính phủ ban hành một số chính sách hỗ trợ học sinh bán trú và trường phổ thông dân tộc bán trú;</w:t>
      </w:r>
      <w:r>
        <w:rPr>
          <w:b w:val="0"/>
          <w:i w:val="0"/>
        </w:rPr>
        <w:br/>
      </w:r>
      <w:r>
        <w:rPr>
          <w:b w:val="0"/>
          <w:i/>
        </w:rPr>
        <w:t>Căn cứ Quyết định số 447/QĐ-UBDT ngày 19 tháng 9 năm 2013 của Ủy ban Dân tộc công nhận thôn đặc biệt khó khăn, xã khu vực I, II, III thuộc vùng dân tộc và miền núi giai đoạn 2012 - 2015;</w:t>
      </w:r>
      <w:r>
        <w:rPr>
          <w:b w:val="0"/>
          <w:i w:val="0"/>
        </w:rPr>
        <w:br/>
      </w:r>
      <w:r>
        <w:rPr>
          <w:b w:val="0"/>
          <w:i/>
        </w:rPr>
        <w:t>Thực hiện Quyết định số 539/QĐ-TTg ngày 01 tháng 4 năm 2013 của Thủ tướng Chính phủ về việc phê duyệt danh sách xã đặc biệt khó khăn, vùng bãi ngang ven biển và hải đảo giai đoạn 2013 - 2015;</w:t>
      </w:r>
      <w:r>
        <w:rPr>
          <w:b w:val="0"/>
          <w:i w:val="0"/>
        </w:rPr>
        <w:br/>
      </w:r>
      <w:r>
        <w:rPr>
          <w:b w:val="0"/>
          <w:i/>
        </w:rPr>
        <w:t>Thực hiện Quyết định số 2405/QĐ-TTg ngày 10 tháng 12 năm2013 của Thủ tướng Chính phủ về việc phê duyệt danh sách xã đặc biệt khó khăn, xã biên giới, xã an toàn khu vào diện đầu tư của Chương trình 135 năm 2014 và năm 2015;</w:t>
      </w:r>
      <w:r>
        <w:rPr>
          <w:b w:val="0"/>
          <w:i w:val="0"/>
        </w:rPr>
        <w:br/>
      </w:r>
      <w:r>
        <w:rPr>
          <w:b w:val="0"/>
          <w:i/>
        </w:rPr>
        <w:t>Thực hiện Quyết định số 582/QD-UBDT ngày 18 tháng 12 năm 2013 của Ủy ban Dân tộc phê duyệt danh sách thôn đặc biệt khó khăn vùng dân tộc và miền núi vào diện đầu tư của Chương trình 135;</w:t>
      </w:r>
      <w:r>
        <w:rPr>
          <w:b w:val="0"/>
          <w:i w:val="0"/>
        </w:rPr>
        <w:br/>
      </w:r>
      <w:r>
        <w:rPr>
          <w:b w:val="0"/>
          <w:i/>
        </w:rPr>
        <w:t>Căn cứ Thông tư số 24/2010/TT-BGDĐT ngày 02 tháng 8 năm 2010 của Bộ trưởng Bộ Giáo dục và Đào tạo ban hành Quy chế tổ chức và hoạt động của trường phổ thông dân tộc bán trú;</w:t>
      </w:r>
      <w:r>
        <w:rPr>
          <w:b w:val="0"/>
          <w:i w:val="0"/>
        </w:rPr>
        <w:br/>
      </w:r>
      <w:r>
        <w:rPr>
          <w:b w:val="0"/>
          <w:i/>
        </w:rPr>
        <w:t>Theo đề nghị của Giám đốc Sở Giáo dục và Đào tạo Ninh Thuận tại Tờ trình số 1132/SGDĐT-GDDT ngày 12 tháng 8 năm 2014 và Báo cáo thẩm định số 1257/BC-STP ngày 07 tháng 8 năm 2014 của Sở Tư pháp.</w:t>
      </w:r>
      <w:r>
        <w:rPr>
          <w:b w:val="0"/>
          <w:i w:val="0"/>
        </w:rPr>
        <w:t xml:space="preserve"> </w:t>
      </w:r>
      <w:r>
        <w:rPr>
          <w:b w:val="0"/>
          <w:i w:val="0"/>
        </w:rPr>
        <w:br/>
      </w:r>
      <w:r>
        <w:rPr>
          <w:b/>
          <w:i w:val="0"/>
        </w:rPr>
        <w:t>QUYẾT ĐỊNH:</w:t>
      </w:r>
      <w:r>
        <w:rPr>
          <w:b w:val="0"/>
          <w:i w:val="0"/>
        </w:rPr>
        <w:t xml:space="preserve"> </w:t>
      </w:r>
      <w:r>
        <w:rPr>
          <w:b w:val="0"/>
          <w:i w:val="0"/>
        </w:rPr>
        <w:br/>
      </w:r>
      <w:r>
        <w:rPr>
          <w:b/>
          <w:i w:val="0"/>
        </w:rPr>
        <w:t xml:space="preserve">Điều 1. </w:t>
      </w:r>
      <w:r>
        <w:rPr>
          <w:b w:val="0"/>
          <w:i w:val="0"/>
        </w:rPr>
        <w:t>Sửa đổi, bổ sung Danh mục các thôn đủ điều kiện để xét duyệt học sinh bán trú ban hành kèm theo Quyết định số 15/2012/QĐ-UBND ngày 22 tháng 3 năm 2012 của Ủy ban nhân dân tỉnh Ninh Thuận ban hành về việc quy định tiêu chí xét duyệt học sinh bán trú trên địa bàn tỉnh Ninh Thuận (có danh mục kèm theo).</w:t>
      </w:r>
      <w:r>
        <w:rPr>
          <w:b w:val="0"/>
          <w:i w:val="0"/>
        </w:rPr>
        <w:br/>
      </w:r>
      <w:r>
        <w:rPr>
          <w:b/>
          <w:i w:val="0"/>
        </w:rPr>
        <w:t xml:space="preserve">Điều 2. </w:t>
      </w:r>
      <w:r>
        <w:rPr>
          <w:b w:val="0"/>
          <w:i w:val="0"/>
        </w:rPr>
        <w:t>Quyết định này có hiệu lực thi hành sau 10 (mười) ngày kể từ ngày ký ban hành.</w:t>
      </w:r>
      <w:r>
        <w:rPr>
          <w:b w:val="0"/>
          <w:i w:val="0"/>
        </w:rPr>
        <w:br/>
      </w:r>
      <w:r>
        <w:rPr>
          <w:b w:val="0"/>
          <w:i w:val="0"/>
        </w:rPr>
        <w:t>Chánh Văn phòng Ủy ban nhân dân tỉnh, Giám đốc các sở, thủ trưởng các ban, ngành thuộc tỉnh, Chủ tịch Uỷ ban nhân dân các huyện, thành phố và thủ trưởng các cơ quan,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Võ Đại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Võ Đại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NINH THUẬN</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DANH MỤC</w:t>
      </w:r>
    </w:p>
    <w:p>
      <w:r>
        <w:rPr>
          <w:b/>
          <w:i w:val="0"/>
        </w:rPr>
        <w:t>Các thôn đủ điều kiện để xét duyệt học sinh bán trú</w:t>
      </w:r>
    </w:p>
    <w:p>
      <w:r>
        <w:rPr>
          <w:b w:val="0"/>
          <w:i/>
        </w:rPr>
        <w:t xml:space="preserve">(Ban hành kèm theo Quyết định số 65/2014/QĐ-UBND ngày 21 tháng </w:t>
      </w:r>
      <w:r>
        <w:rPr>
          <w:b w:val="0"/>
          <w:i/>
        </w:rPr>
        <w:t>8</w:t>
      </w:r>
      <w:r>
        <w:rPr>
          <w:b w:val="0"/>
          <w:i/>
        </w:rPr>
        <w:t xml:space="preserve"> năm 2014 của Ủy ban nhân dân tỉnh Ninh Thuận)</w:t>
      </w:r>
    </w:p>
    <w:p>
      <w:r>
        <w:rPr>
          <w:b/>
          <w:i w:val="0"/>
        </w:rPr>
        <w:t>______________________________________________________</w:t>
      </w:r>
      <w:r>
        <w:rPr>
          <w:b w:val="0"/>
          <w:i w:val="0"/>
        </w:rPr>
        <w:t xml:space="preserve">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Huyện</w:t>
            </w:r>
          </w:p>
        </w:tc>
        <w:tc>
          <w:tcPr>
            <w:tcW w:type="dxa" w:w="1440"/>
          </w:tcPr>
          <w:p>
            <w:r>
              <w:rPr>
                <w:b w:val="0"/>
                <w:i w:val="0"/>
              </w:rPr>
              <w:br/>
            </w:r>
            <w:r>
              <w:rPr>
                <w:b/>
                <w:i w:val="0"/>
              </w:rPr>
              <w:t>Xã</w:t>
            </w:r>
          </w:p>
        </w:tc>
        <w:tc>
          <w:tcPr>
            <w:tcW w:type="dxa" w:w="1440"/>
          </w:tcPr>
          <w:p>
            <w:r>
              <w:rPr>
                <w:b w:val="0"/>
                <w:i w:val="0"/>
              </w:rPr>
              <w:br/>
            </w:r>
            <w:r>
              <w:rPr>
                <w:b/>
                <w:i w:val="0"/>
              </w:rPr>
              <w:t>Tên trường</w:t>
            </w:r>
          </w:p>
        </w:tc>
        <w:tc>
          <w:tcPr>
            <w:tcW w:type="dxa" w:w="1440"/>
          </w:tcPr>
          <w:p>
            <w:r>
              <w:rPr>
                <w:b w:val="0"/>
                <w:i w:val="0"/>
              </w:rPr>
              <w:br/>
            </w:r>
            <w:r>
              <w:rPr>
                <w:b/>
                <w:i w:val="0"/>
              </w:rPr>
              <w:t>Địa bàn cư trú của</w:t>
            </w:r>
            <w:r>
              <w:rPr>
                <w:b w:val="0"/>
                <w:i w:val="0"/>
              </w:rPr>
              <w:br/>
            </w:r>
            <w:r>
              <w:rPr>
                <w:b/>
                <w:i w:val="0"/>
              </w:rPr>
              <w:t>học sinh (thôn, làng)</w:t>
            </w:r>
          </w:p>
        </w:tc>
        <w:tc>
          <w:tcPr>
            <w:tcW w:type="dxa" w:w="1440"/>
          </w:tcPr>
          <w:p>
            <w:r>
              <w:rPr>
                <w:b w:val="0"/>
                <w:i w:val="0"/>
              </w:rPr>
              <w:br/>
            </w:r>
            <w:r>
              <w:rPr>
                <w:b/>
                <w:i w:val="0"/>
              </w:rPr>
              <w:t>Điều kiện về cự ly, địa hình, giao thông</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Huyện</w:t>
            </w:r>
          </w:p>
        </w:tc>
        <w:tc>
          <w:tcPr>
            <w:tcW w:type="dxa" w:w="1440"/>
          </w:tcPr>
          <w:p>
            <w:r>
              <w:rPr>
                <w:b w:val="0"/>
                <w:i w:val="0"/>
              </w:rPr>
              <w:br/>
            </w:r>
            <w:r>
              <w:rPr>
                <w:b/>
                <w:i w:val="0"/>
              </w:rPr>
              <w:t>Xã</w:t>
            </w:r>
          </w:p>
        </w:tc>
        <w:tc>
          <w:tcPr>
            <w:tcW w:type="dxa" w:w="1440"/>
          </w:tcPr>
          <w:p>
            <w:r>
              <w:rPr>
                <w:b w:val="0"/>
                <w:i w:val="0"/>
              </w:rPr>
              <w:br/>
            </w:r>
            <w:r>
              <w:rPr>
                <w:b/>
                <w:i w:val="0"/>
              </w:rPr>
              <w:t>Tên trường</w:t>
            </w:r>
          </w:p>
        </w:tc>
        <w:tc>
          <w:tcPr>
            <w:tcW w:type="dxa" w:w="1440"/>
          </w:tcPr>
          <w:p>
            <w:r>
              <w:rPr>
                <w:b w:val="0"/>
                <w:i w:val="0"/>
              </w:rPr>
              <w:br/>
            </w:r>
            <w:r>
              <w:rPr>
                <w:b/>
                <w:i w:val="0"/>
              </w:rPr>
              <w:t>Địa bàn cư trú của</w:t>
            </w:r>
            <w:r>
              <w:rPr>
                <w:b w:val="0"/>
                <w:i w:val="0"/>
              </w:rPr>
              <w:br/>
            </w:r>
            <w:r>
              <w:rPr>
                <w:b/>
                <w:i w:val="0"/>
              </w:rPr>
              <w:t>học sinh (thôn, làng)</w:t>
            </w:r>
          </w:p>
        </w:tc>
        <w:tc>
          <w:tcPr>
            <w:tcW w:type="dxa" w:w="1440"/>
          </w:tcPr>
          <w:p>
            <w:r>
              <w:rPr>
                <w:b w:val="0"/>
                <w:i w:val="0"/>
              </w:rPr>
              <w:br/>
            </w:r>
            <w:r>
              <w:rPr>
                <w:b/>
                <w:i w:val="0"/>
              </w:rPr>
              <w:t>Điều kiện về cự ly, địa hình, giao thông</w:t>
            </w:r>
          </w:p>
        </w:tc>
        <w:tc>
          <w:tcPr>
            <w:tcW w:type="dxa" w:w="1440"/>
          </w:tcPr>
          <w:p>
            <w:r>
              <w:rPr>
                <w:b w:val="0"/>
                <w:i w:val="0"/>
              </w:rPr>
              <w:br/>
            </w:r>
            <w:r>
              <w:rPr>
                <w:b/>
                <w:i w:val="0"/>
              </w:rPr>
              <w:t>Ghi chú</w:t>
            </w:r>
          </w:p>
        </w:tc>
      </w:tr>
    </w:tbl>
    <w:p>
      <w:r>
        <w:rPr>
          <w:b w:val="0"/>
          <w:i w:val="0"/>
        </w:rPr>
        <w:t>ơ</w:t>
      </w:r>
    </w:p>
    <w:p>
      <w:r>
        <w:rPr>
          <w:b w:val="0"/>
          <w:i w:val="0"/>
        </w:rPr>
        <w:t>ơ</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Huyện</w:t>
            </w:r>
          </w:p>
        </w:tc>
        <w:tc>
          <w:tcPr>
            <w:tcW w:type="dxa" w:w="1440"/>
          </w:tcPr>
          <w:p>
            <w:r>
              <w:rPr>
                <w:b w:val="0"/>
                <w:i w:val="0"/>
              </w:rPr>
              <w:br/>
            </w:r>
            <w:r>
              <w:rPr>
                <w:b/>
                <w:i w:val="0"/>
              </w:rPr>
              <w:t>Xã</w:t>
            </w:r>
          </w:p>
        </w:tc>
        <w:tc>
          <w:tcPr>
            <w:tcW w:type="dxa" w:w="1440"/>
          </w:tcPr>
          <w:p>
            <w:r>
              <w:rPr>
                <w:b w:val="0"/>
                <w:i w:val="0"/>
              </w:rPr>
              <w:br/>
            </w:r>
            <w:r>
              <w:rPr>
                <w:b/>
                <w:i w:val="0"/>
              </w:rPr>
              <w:t>Tên trường</w:t>
            </w:r>
          </w:p>
        </w:tc>
        <w:tc>
          <w:tcPr>
            <w:tcW w:type="dxa" w:w="1440"/>
          </w:tcPr>
          <w:p>
            <w:r>
              <w:rPr>
                <w:b w:val="0"/>
                <w:i w:val="0"/>
              </w:rPr>
              <w:br/>
            </w:r>
            <w:r>
              <w:rPr>
                <w:b/>
                <w:i w:val="0"/>
              </w:rPr>
              <w:t>Địa bàn cư trú của</w:t>
            </w:r>
            <w:r>
              <w:rPr>
                <w:b w:val="0"/>
                <w:i w:val="0"/>
              </w:rPr>
              <w:br/>
            </w:r>
            <w:r>
              <w:rPr>
                <w:b/>
                <w:i w:val="0"/>
              </w:rPr>
              <w:t>học sinh (thôn, làng)</w:t>
            </w:r>
          </w:p>
        </w:tc>
        <w:tc>
          <w:tcPr>
            <w:tcW w:type="dxa" w:w="1440"/>
          </w:tcPr>
          <w:p>
            <w:r>
              <w:rPr>
                <w:b w:val="0"/>
                <w:i w:val="0"/>
              </w:rPr>
              <w:br/>
            </w:r>
            <w:r>
              <w:rPr>
                <w:b/>
                <w:i w:val="0"/>
              </w:rPr>
              <w:t>Điều kiện về cự ly, địa hình, giao thông</w:t>
            </w:r>
          </w:p>
        </w:tc>
        <w:tc>
          <w:tcPr>
            <w:tcW w:type="dxa" w:w="1440"/>
          </w:tcPr>
          <w:p>
            <w:r>
              <w:rPr>
                <w:b w:val="0"/>
                <w:i w:val="0"/>
              </w:rPr>
              <w:br/>
            </w:r>
            <w:r>
              <w:rPr>
                <w:b/>
                <w:i w:val="0"/>
              </w:rPr>
              <w:t>Ghi chú</w:t>
            </w:r>
          </w:p>
        </w:tc>
      </w:tr>
    </w:tbl>
    <w:p>
      <w:r>
        <w:rPr>
          <w:b w:val="0"/>
          <w:i w:val="0"/>
        </w:rP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Huyện</w:t>
            </w:r>
          </w:p>
        </w:tc>
        <w:tc>
          <w:tcPr>
            <w:tcW w:type="dxa" w:w="1440"/>
          </w:tcPr>
          <w:p>
            <w:r>
              <w:rPr>
                <w:b w:val="0"/>
                <w:i w:val="0"/>
              </w:rPr>
              <w:br/>
            </w:r>
            <w:r>
              <w:rPr>
                <w:b/>
                <w:i w:val="0"/>
              </w:rPr>
              <w:t>Xã</w:t>
            </w:r>
          </w:p>
        </w:tc>
        <w:tc>
          <w:tcPr>
            <w:tcW w:type="dxa" w:w="1440"/>
          </w:tcPr>
          <w:p>
            <w:r>
              <w:rPr>
                <w:b w:val="0"/>
                <w:i w:val="0"/>
              </w:rPr>
              <w:br/>
            </w:r>
            <w:r>
              <w:rPr>
                <w:b/>
                <w:i w:val="0"/>
              </w:rPr>
              <w:t>Tên trường</w:t>
            </w:r>
          </w:p>
        </w:tc>
        <w:tc>
          <w:tcPr>
            <w:tcW w:type="dxa" w:w="1440"/>
          </w:tcPr>
          <w:p>
            <w:r>
              <w:rPr>
                <w:b w:val="0"/>
                <w:i w:val="0"/>
              </w:rPr>
              <w:br/>
            </w:r>
            <w:r>
              <w:rPr>
                <w:b/>
                <w:i w:val="0"/>
              </w:rPr>
              <w:t>Địa bàn cư trú của</w:t>
            </w:r>
            <w:r>
              <w:rPr>
                <w:b w:val="0"/>
                <w:i w:val="0"/>
              </w:rPr>
              <w:br/>
            </w:r>
            <w:r>
              <w:rPr>
                <w:b/>
                <w:i w:val="0"/>
              </w:rPr>
              <w:t>học sinh (thôn, làng)</w:t>
            </w:r>
          </w:p>
        </w:tc>
        <w:tc>
          <w:tcPr>
            <w:tcW w:type="dxa" w:w="1440"/>
          </w:tcPr>
          <w:p>
            <w:r>
              <w:rPr>
                <w:b w:val="0"/>
                <w:i w:val="0"/>
              </w:rPr>
              <w:br/>
            </w:r>
            <w:r>
              <w:rPr>
                <w:b/>
                <w:i w:val="0"/>
              </w:rPr>
              <w:t>Điều kiện về cự ly, địa hình, giao thông</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Huyện</w:t>
            </w:r>
          </w:p>
        </w:tc>
        <w:tc>
          <w:tcPr>
            <w:tcW w:type="dxa" w:w="1440"/>
          </w:tcPr>
          <w:p>
            <w:r>
              <w:rPr>
                <w:b w:val="0"/>
                <w:i w:val="0"/>
              </w:rPr>
              <w:br/>
            </w:r>
            <w:r>
              <w:rPr>
                <w:b/>
                <w:i w:val="0"/>
              </w:rPr>
              <w:t>Xã</w:t>
            </w:r>
          </w:p>
        </w:tc>
        <w:tc>
          <w:tcPr>
            <w:tcW w:type="dxa" w:w="1440"/>
          </w:tcPr>
          <w:p>
            <w:r>
              <w:rPr>
                <w:b w:val="0"/>
                <w:i w:val="0"/>
              </w:rPr>
              <w:br/>
            </w:r>
            <w:r>
              <w:rPr>
                <w:b/>
                <w:i w:val="0"/>
              </w:rPr>
              <w:t>Tên trường</w:t>
            </w:r>
          </w:p>
        </w:tc>
        <w:tc>
          <w:tcPr>
            <w:tcW w:type="dxa" w:w="1440"/>
          </w:tcPr>
          <w:p>
            <w:r>
              <w:rPr>
                <w:b w:val="0"/>
                <w:i w:val="0"/>
              </w:rPr>
              <w:br/>
            </w:r>
            <w:r>
              <w:rPr>
                <w:b/>
                <w:i w:val="0"/>
              </w:rPr>
              <w:t>Địa bàn cư trú của</w:t>
            </w:r>
            <w:r>
              <w:rPr>
                <w:b w:val="0"/>
                <w:i w:val="0"/>
              </w:rPr>
              <w:br/>
            </w:r>
            <w:r>
              <w:rPr>
                <w:b/>
                <w:i w:val="0"/>
              </w:rPr>
              <w:t>học sinh (thôn, làng)</w:t>
            </w:r>
          </w:p>
        </w:tc>
        <w:tc>
          <w:tcPr>
            <w:tcW w:type="dxa" w:w="1440"/>
          </w:tcPr>
          <w:p>
            <w:r>
              <w:rPr>
                <w:b w:val="0"/>
                <w:i w:val="0"/>
              </w:rPr>
              <w:br/>
            </w:r>
            <w:r>
              <w:rPr>
                <w:b/>
                <w:i w:val="0"/>
              </w:rPr>
              <w:t>Điều kiện về cự ly, địa hình, giao thông</w:t>
            </w:r>
          </w:p>
        </w:tc>
        <w:tc>
          <w:tcPr>
            <w:tcW w:type="dxa" w:w="1440"/>
          </w:tcPr>
          <w:p>
            <w:r>
              <w:rPr>
                <w:b w:val="0"/>
                <w:i w:val="0"/>
              </w:rPr>
              <w:br/>
            </w:r>
            <w:r>
              <w:rPr>
                <w:b/>
                <w:i w:val="0"/>
              </w:rPr>
              <w:t>Ghi chú</w:t>
            </w:r>
          </w:p>
        </w:tc>
      </w:tr>
    </w:tbl>
    <w:p>
      <w:r>
        <w:rPr>
          <w:b w:val="0"/>
          <w:i w:val="0"/>
        </w:rPr>
        <w:t>Tổng cộng:</w:t>
      </w:r>
    </w:p>
    <w:p>
      <w:r>
        <w:rPr>
          <w:b w:val="0"/>
          <w:i w:val="0"/>
        </w:rPr>
        <w:t>- Có 18 xã (Bác Ái: 07 xã, Ninh Sơn: 07 xã, Thuận Nam: 01 xã, Thuận Bắc: 02 xã, Ninh Hải: 01 xã);</w:t>
      </w:r>
    </w:p>
    <w:p>
      <w:r>
        <w:rPr>
          <w:b w:val="0"/>
          <w:i w:val="0"/>
        </w:rPr>
        <w:t>- Có 59 thôn (Bác Ái: 28 thôn, Ninh Sơn: 21 thôn,  Thuận Nam: 05 thôn, Thuận Bắc: 03 thôn, Ninh Hải: 02 thôn).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