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65/2024/TT-BGTVT Sửa đổi, bổ sung một số điều của Bộ Quy chế An toàn hàng không dân dụng lĩnh vực tàu bay và khai thác tàu bay ban hành kèm theo Thông tư số 01/2011/TT-BGTVT ngày 27 tháng 01 năm 2011 của Bộ trưởng Bộ Giao thông vận tải và Thông tư số 09/2023/TT-BGTVT ngày 09 tháng 6 năm 2023 của Bộ trưởng Bộ Giao thông vận tải sửa đổi, bổ sung một số điều của Bộ Quy chế An toàn hàng không dân dụng lĩnh vực tàu bay và khai thác tàu bay ban hành kèm theo Thông tư số 01/2011/TT-BGTVT và các Thông tư sửa đổi, bổ sung Thông tư số 01/2011/TT-BGTVT của Bộ trưởng Bộ Giao thông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rPr>
                <w:b w:val="0"/>
                <w:i w:val="0"/>
              </w:rPr>
              <w:br/>
            </w:r>
            <w:r>
              <w:rPr>
                <w:b w:val="0"/>
                <w:i w:val="0"/>
              </w:rPr>
              <w:br/>
            </w:r>
            <w:r>
              <w:rPr>
                <w:b w:val="0"/>
                <w:i w:val="0"/>
              </w:rPr>
              <w:t>Số: 65/2024/TT-BGTVT</w:t>
            </w:r>
          </w:p>
        </w:tc>
        <w:tc>
          <w:tcPr>
            <w:tcW w:type="dxa" w:w="4320"/>
          </w:tcPr>
          <w:p>
            <w:r>
              <w:rPr>
                <w:b w:val="0"/>
                <w:i w:val="0"/>
              </w:rPr>
              <w:br/>
            </w:r>
            <w:r>
              <w:rPr>
                <w:b/>
                <w:i w:val="0"/>
              </w:rPr>
              <w:t>CỘNG HÒA XÃ HỘI CHỦ NGHĨA VIỆT NAM</w:t>
            </w:r>
            <w:r>
              <w:rPr>
                <w:b w:val="0"/>
                <w:i w:val="0"/>
              </w:rPr>
              <w:br/>
            </w:r>
            <w:r>
              <w:rPr>
                <w:b/>
                <w:i/>
              </w:rPr>
              <w:t>Độc lập - Tự do - Hạnh phúc</w:t>
            </w:r>
            <w:r>
              <w:rPr>
                <w:b w:val="0"/>
                <w:i w:val="0"/>
              </w:rPr>
              <w:br/>
            </w:r>
            <w:r>
              <w:rPr>
                <w:b w:val="0"/>
                <w:i/>
              </w:rPr>
              <w:t xml:space="preserve">Hà Nội, ngày 31 tháng 12 năm 2024 </w:t>
            </w:r>
          </w:p>
        </w:tc>
      </w:tr>
    </w:tbl>
    <w:p>
      <w:pPr>
        <w:jc w:val="center"/>
      </w:pPr>
      <w:r>
        <w:rPr>
          <w:b/>
          <w:i w:val="0"/>
        </w:rPr>
        <w:t>THÔNG TƯ</w:t>
      </w:r>
    </w:p>
    <w:p>
      <w:pPr>
        <w:jc w:val="center"/>
      </w:pPr>
      <w:r>
        <w:rPr>
          <w:b/>
          <w:i w:val="0"/>
        </w:rPr>
        <w:t xml:space="preserve">Sửa đổi, bổ sung một số điều của Bộ Quy chế An toàn hàng không dân dụng </w:t>
      </w:r>
      <w:r>
        <w:rPr>
          <w:b/>
          <w:i w:val="0"/>
        </w:rPr>
        <w:t>lĩnh vực tàu bay và khai thác tàu bay ban hành kèm theo Thông tư số 01/2011/TT-BGTVT ngày 27 tháng 01 năm 2011 của Bộ trưởng Bộ Giao thông vận tải và Thông tư số 09/2023/TT-BGTVT ngày 09 tháng 6 năm 2023 của Bộ trưởng Bộ Giao thông vận tải sửa đổi, bổ sung một số điều của Bộ Quy chế An toàn hàng không dân dụng lĩnh vực tàu bay và khai thác tàu bay ban hành kèm theo Thông tư số 01/2011/TT-BGTVT và các Thông tư sửa đổi, bổ sung Thông tư số 01/2011/TT-BGTVT của Bộ trưởng Bộ Giao thông vận tải</w:t>
      </w:r>
    </w:p>
    <w:p>
      <w:r>
        <w:rPr>
          <w:b w:val="0"/>
          <w:i/>
        </w:rPr>
        <w:t>Căn cứ Luật Hàng không dân dụng Việt Nam ngày 29 tháng 6 năm 2006 và Luật Sửa đổi, bổ sung một số điều của Luật Hàng không dân dụng Việt Nam ngày 21 tháng 11 năm 2014;</w:t>
      </w:r>
    </w:p>
    <w:p>
      <w:r>
        <w:rPr>
          <w:b w:val="0"/>
          <w:i/>
        </w:rPr>
        <w:t>Căn cứ Luật Dược ngày 06 tháng 4 năm 2016;</w:t>
      </w:r>
    </w:p>
    <w:p>
      <w:r>
        <w:rPr>
          <w:b w:val="0"/>
          <w:i/>
        </w:rPr>
        <w:t>Căn cứ Luật Phòng, chống tác hại của rượu, bia ngày 14 tháng 6 năm 2019;</w:t>
      </w:r>
    </w:p>
    <w:p>
      <w:r>
        <w:rPr>
          <w:b w:val="0"/>
          <w:i/>
        </w:rPr>
        <w:t>Căn cứ Luật Phòng, chống ma túy ngày 30 tháng 3 năm 2021;</w:t>
      </w:r>
    </w:p>
    <w:p>
      <w:r>
        <w:rPr>
          <w:b w:val="0"/>
          <w:i/>
        </w:rPr>
        <w:t>Căn cứ Nghị định số 56/2022/NĐ-CP ngày 24 tháng 8 năm 2022 của Chính phủ quy định chức năng, nhiệm vụ, quyền hạn và cơ cấu tổ chức của Bộ Giao thông vận tải;</w:t>
      </w:r>
    </w:p>
    <w:p>
      <w:r>
        <w:rPr>
          <w:b w:val="0"/>
          <w:i/>
        </w:rPr>
        <w:t>Căn cứ Nghị định số 66/2015/NĐ-CP ngày 12 tháng 8 năm 2015 của Chính phủ quy định về nhà chức trách hàng không;</w:t>
      </w:r>
    </w:p>
    <w:p>
      <w:r>
        <w:rPr>
          <w:b w:val="0"/>
          <w:i/>
        </w:rPr>
        <w:t>Theo đề nghị của Vụ trưởng Vụ Vận tải và Cục trưởng Cục Hàng không Việt Nam;</w:t>
      </w:r>
    </w:p>
    <w:p>
      <w:r>
        <w:rPr>
          <w:b w:val="0"/>
          <w:i/>
        </w:rPr>
        <w:t>Bộ trưởng Bộ Giao thông vận tải ban hành Thông tư sửa đổi, bổ sung một số điều của Bộ Quy chế An toàn hàng không dân dụng lĩnh vực tàu bay và khai thác tàu bay ban hành kèm theo Thông tư số 01/2011/TT-BGTVT ngày 27 tháng 01 năm 2011 của Bộ trưởng Bộ Giao thông vận tải và Thông tư số 09/2023/TT-BGTVT ngày 09 tháng 06 năm 2023 của Bộ trưởng Bộ Giao thông vận tải sửa đổi, bổ sung một số điều của Bộ Quy chế An toàn hàng không dân dụng lĩnh vực tàu bay và khai thác tàu bay ban hành kèm theo Thông tư số 01/2011/TT-BGTVT và các Thông tư sửa đổi, bổ sung Thông tư số 01/2011/TT-BGTVT của Bộ trưởng Bộ Giao thông vận tải.</w:t>
      </w:r>
    </w:p>
    <w:p>
      <w:r>
        <w:rPr>
          <w:b/>
          <w:i w:val="0"/>
        </w:rPr>
        <w:t>Điều 1. Sửa đổi, bổ sung một số điều của Bộ Quy chế An toàn hàng không dân dụng lĩnh vực tàu bay và khai thác tàu bay ban hành kèm theo Thông tư số 01/2011/TT-BGTVT ngày 27 tháng 01 năm 2011 của Bộ trưởng Bộ Giao thông vận tải và Thông tư số 09/2023/TT-BGTVT ngày 09 tháng 6 năm 2023 của Bộ trưởng Bộ Giao thông vận tải sửa đổi, bổ sung một số điều của Bộ Quy chế An toàn hàng không dân dụng lĩnh vực tàu bay và khai thác tàu bay ban hành kèm theo Thông tư số 01/2011/TT-BGTVT và các Thông tư sửa đổi, bổ sung Thông tư số 01/2011/TT-BGTVT của Bộ trưởng Bộ Giao thông vận tải (sau đây viết tắt là Bộ QCATHK)</w:t>
      </w:r>
    </w:p>
    <w:p>
      <w:r>
        <w:rPr>
          <w:b w:val="0"/>
          <w:i w:val="0"/>
        </w:rPr>
        <w:t>1. Sửa đổi, bổ sung một số điều của Phần 1 Bộ QCATHK tại Phụ lục I ban hành kèm theo Thông tư này.</w:t>
      </w:r>
    </w:p>
    <w:p>
      <w:r>
        <w:rPr>
          <w:b w:val="0"/>
          <w:i w:val="0"/>
        </w:rPr>
        <w:t>2. Sửa đổi, bổ sung một số điều của Phần 10 Bộ QCATHK tại Phụ lục II ban hành kèm theo Thông tư này.</w:t>
      </w:r>
    </w:p>
    <w:p>
      <w:r>
        <w:rPr>
          <w:b w:val="0"/>
          <w:i w:val="0"/>
        </w:rPr>
        <w:t>3. Sửa đổi, bổ sung một số điều của Phần 22 Bộ QCATHK tại Phụ lục III ban hành kèm theo Thông tư này.</w:t>
      </w:r>
    </w:p>
    <w:p>
      <w:r>
        <w:rPr>
          <w:b/>
          <w:i w:val="0"/>
        </w:rPr>
        <w:t>Điều 2. Hiệu lực thi hành</w:t>
      </w:r>
    </w:p>
    <w:p>
      <w:r>
        <w:rPr>
          <w:b w:val="0"/>
          <w:i w:val="0"/>
        </w:rPr>
        <w:t>1. Thông tư có hiệu lực thi hành từ ngày 31 tháng 03 năm 2025.</w:t>
      </w:r>
    </w:p>
    <w:p>
      <w:r>
        <w:rPr>
          <w:b w:val="0"/>
          <w:i w:val="0"/>
        </w:rPr>
        <w:t>2. Trường hợp văn bản quy phạm pháp luật được dẫn chiếu tại Thông tư này sửa đổi, bổ sung hoặc thay thế thì áp dụng văn bản quy phạm pháp luật được sửa đổi, bổ sung hoặc thay thế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Bộ trưởng;</w:t>
            </w:r>
            <w:r>
              <w:rPr>
                <w:b w:val="0"/>
                <w:i w:val="0"/>
              </w:rPr>
              <w:br/>
            </w:r>
            <w:r>
              <w:rPr>
                <w:b w:val="0"/>
                <w:i w:val="0"/>
              </w:rPr>
              <w:t>- Văn phòng Chính phủ;</w:t>
            </w:r>
            <w:r>
              <w:rPr>
                <w:b w:val="0"/>
                <w:i w:val="0"/>
              </w:rPr>
              <w:br/>
            </w:r>
            <w:r>
              <w:rPr>
                <w:b w:val="0"/>
                <w:i w:val="0"/>
              </w:rPr>
              <w:t>- Các Thứ trưởng Bộ GTVT;</w:t>
            </w:r>
            <w:r>
              <w:rPr>
                <w:b w:val="0"/>
                <w:i w:val="0"/>
              </w:rPr>
              <w:br/>
            </w:r>
            <w:r>
              <w:rPr>
                <w:b w:val="0"/>
                <w:i w:val="0"/>
              </w:rPr>
              <w:t xml:space="preserve">- Các Bộ, cơ quan ngang Bộ, cơ quan thuộc Chính phủ; </w:t>
            </w:r>
            <w:r>
              <w:rPr>
                <w:b w:val="0"/>
                <w:i w:val="0"/>
              </w:rPr>
              <w:br/>
            </w:r>
            <w:r>
              <w:rPr>
                <w:b w:val="0"/>
                <w:i w:val="0"/>
              </w:rPr>
              <w:t>- UBND tỉnh, thành phố trực thuộc TW;</w:t>
            </w:r>
            <w:r>
              <w:rPr>
                <w:b w:val="0"/>
                <w:i w:val="0"/>
              </w:rPr>
              <w:br/>
            </w:r>
            <w:r>
              <w:rPr>
                <w:b w:val="0"/>
                <w:i w:val="0"/>
              </w:rPr>
              <w:t>- Cục Kiểm tra văn bản QPPL (Bộ Tư pháp);</w:t>
            </w:r>
            <w:r>
              <w:rPr>
                <w:b w:val="0"/>
                <w:i w:val="0"/>
              </w:rPr>
              <w:br/>
            </w:r>
            <w:r>
              <w:rPr>
                <w:b w:val="0"/>
                <w:i w:val="0"/>
              </w:rPr>
              <w:t>- Các Tổng công ty: QLBVN, CHKVN-CTCP, HKVN-</w:t>
            </w:r>
            <w:r>
              <w:rPr>
                <w:b w:val="0"/>
                <w:i w:val="0"/>
              </w:rPr>
              <w:t>CTCP, Trực thăng VN; Cảng HK Quốc tế Vân Đồn;</w:t>
            </w:r>
            <w:r>
              <w:rPr>
                <w:b w:val="0"/>
                <w:i w:val="0"/>
              </w:rPr>
              <w:br/>
            </w:r>
            <w:r>
              <w:rPr>
                <w:b w:val="0"/>
                <w:i w:val="0"/>
              </w:rPr>
              <w:t xml:space="preserve">- Các Công ty cổ phần: Hàng không Pacific Airlines, </w:t>
            </w:r>
            <w:r>
              <w:rPr>
                <w:b w:val="0"/>
                <w:i w:val="0"/>
              </w:rPr>
              <w:t>Hàng không VietJet, Hàng không Tre Việt, Hàng không Hải Âu, Hàng không lưỡng dụng Ngôi Sao Việt, Hàng không lữ hành VN, Hàng không Bầu trời xanh, Hàng không Hành Tinh Xanh, Đào tạo bay Việt; Dịch vụ Kỹ thuật trực thăng; Phục vụ mặt đất Sài Gòn;</w:t>
            </w:r>
            <w:r>
              <w:rPr>
                <w:b w:val="0"/>
                <w:i w:val="0"/>
              </w:rPr>
              <w:br/>
            </w:r>
            <w:r>
              <w:rPr>
                <w:b w:val="0"/>
                <w:i w:val="0"/>
              </w:rPr>
              <w:t>- Các Công ty Bay: VASCO, VNHS, VNHN;</w:t>
            </w:r>
            <w:r>
              <w:rPr>
                <w:b w:val="0"/>
                <w:i w:val="0"/>
              </w:rPr>
              <w:br/>
            </w:r>
            <w:r>
              <w:rPr>
                <w:b w:val="0"/>
                <w:i w:val="0"/>
              </w:rPr>
              <w:t>- Các Công ty TNHH: MTV kỹ thuật máy bay (VAECO), Kỹ thuật công nghệ hàng không Việt Nam Singapore, MTV dịch vụ mặt đất sân bay Việt Nam, Luftavia Limited;</w:t>
            </w:r>
            <w:r>
              <w:rPr>
                <w:b w:val="0"/>
                <w:i w:val="0"/>
              </w:rPr>
              <w:br/>
            </w:r>
            <w:r>
              <w:rPr>
                <w:b w:val="0"/>
                <w:i w:val="0"/>
              </w:rPr>
              <w:t>- Các Công ty: SAAM, AESC;</w:t>
            </w:r>
            <w:r>
              <w:rPr>
                <w:b w:val="0"/>
                <w:i w:val="0"/>
              </w:rPr>
              <w:br/>
            </w:r>
            <w:r>
              <w:rPr>
                <w:b w:val="0"/>
                <w:i w:val="0"/>
              </w:rPr>
              <w:t>- Công báo, Cổng thông tin điện tử Chính phủ;</w:t>
            </w:r>
            <w:r>
              <w:rPr>
                <w:b w:val="0"/>
                <w:i w:val="0"/>
              </w:rPr>
              <w:br/>
            </w:r>
            <w:r>
              <w:rPr>
                <w:b w:val="0"/>
                <w:i w:val="0"/>
              </w:rPr>
              <w:t xml:space="preserve">- Cổng thông tin điện tử Bộ GTVT, Báo Giao thông; </w:t>
            </w:r>
            <w:r>
              <w:rPr>
                <w:b w:val="0"/>
                <w:i w:val="0"/>
              </w:rPr>
              <w:br/>
            </w:r>
            <w:r>
              <w:rPr>
                <w:b w:val="0"/>
                <w:i w:val="0"/>
              </w:rPr>
              <w:t>Lưu: VT, VTải.</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Lê Anh Tuấn</w:t>
            </w:r>
          </w:p>
        </w:tc>
      </w:tr>
    </w:tbl>
    <w:p>
      <w:pPr>
        <w:jc w:val="center"/>
      </w:pPr>
      <w:r>
        <w:rPr>
          <w:b/>
          <w:i w:val="0"/>
        </w:rPr>
        <w:t>PHỤ LỤC I</w:t>
      </w:r>
      <w:r>
        <w:br/>
      </w:r>
      <w:r>
        <w:rPr>
          <w:b/>
          <w:i w:val="0"/>
        </w:rPr>
        <w:br/>
        <w:t xml:space="preserve">      Sửa đổi, bổ sung một số điều của Phần 1 Bộ Quy chế An toàn hàng không dân dụng lĩnh vực tàu bay và khai thác tàu bay</w:t>
      </w:r>
    </w:p>
    <w:p>
      <w:pPr>
        <w:jc w:val="center"/>
      </w:pPr>
      <w:r>
        <w:rPr>
          <w:b w:val="0"/>
          <w:i/>
        </w:rPr>
        <w:t>(Ban hành kèm theo thông tư số 65/2024/TT-BGTVT ngày 31 tháng 12 năm 2024 của Bộ trưởng Bộ Giao thông vận tải)</w:t>
      </w:r>
    </w:p>
    <w:p>
      <w:r>
        <w:rPr>
          <w:b/>
          <w:i w:val="0"/>
        </w:rPr>
        <w:t>1. Sửa đổi, bổ sung khoản (15) và khoản (354) Phụ lục 1 Điều 1.007 quy định tại Phần 1 Bộ Quy chế An toàn hàng không dân dụng lĩnh vực tàu bay và khai thác tàu bay ban hành kèm theo Thông tư số 01/2011/TT-BGTVT ngày 27 tháng 01 năm 2011 của Bộ trưởng Bộ Giao thông vận tải ban hành Bộ Quy chế An toàn hàng không dân dụng lĩnh vực tàu bay và khai thác tàu bay (sau đây gọi tắt là Thông tư số 01/2011/TT-BGTVT)</w:t>
      </w:r>
    </w:p>
    <w:p>
      <w:r>
        <w:rPr>
          <w:b w:val="0"/>
          <w:i w:val="0"/>
        </w:rPr>
        <w:t>a) Sửa đổi, bổ sung khoản (15) như sau:</w:t>
      </w:r>
    </w:p>
    <w:p>
      <w:r>
        <w:rPr>
          <w:b/>
          <w:i w:val="0"/>
        </w:rPr>
        <w:t>"(15) Các chất kích thích thần kinh gồm:</w:t>
      </w:r>
    </w:p>
    <w:p>
      <w:r>
        <w:rPr>
          <w:b w:val="0"/>
          <w:i w:val="0"/>
        </w:rPr>
        <w:t>(i) Rượu, bia được quy định tại khoản 1 và khoản 2 Điều 2 Luật Phòng, chống tác hại của rượu, bia;</w:t>
      </w:r>
    </w:p>
    <w:p>
      <w:r>
        <w:rPr>
          <w:b w:val="0"/>
          <w:i w:val="0"/>
        </w:rPr>
        <w:t>(ii) Dược chất gây nghiện, dược chất hướng thần theo danh mục tại Phụ lục I, Phụ lục II ban hành kèm theo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p>
      <w:r>
        <w:rPr>
          <w:b w:val="0"/>
          <w:i w:val="0"/>
        </w:rPr>
        <w:t>(iii) Chất ma túy và tiền chất theo danh mục tại Phụ lục ban hành kèm theo Nghị định số 57/2022/NĐ-CP ngày 25 tháng 8 năm 2022 của Chính phủ quy định các danh mục chất ma túy và tiền chất và Nghị định số 90/2024/NĐ-CP ngày 17 tháng 7 năm 2024 của Chính phủ sửa đổi, bổ sung danh mục chất ma túy và tiền chất ban hành kèm theo Nghị định số 57/2022/NĐ-CP."</w:t>
      </w:r>
    </w:p>
    <w:p>
      <w:r>
        <w:rPr>
          <w:b w:val="0"/>
          <w:i w:val="0"/>
        </w:rPr>
        <w:t>b) Sửa đổi, bổ sung khoản (354) như sau:</w:t>
      </w:r>
    </w:p>
    <w:p>
      <w:r>
        <w:rPr>
          <w:b w:val="0"/>
          <w:i w:val="0"/>
        </w:rPr>
        <w:t>"</w:t>
      </w:r>
      <w:r>
        <w:rPr>
          <w:b/>
          <w:i w:val="0"/>
        </w:rPr>
        <w:t>(354) Sử dụng các chất kích thích thần kinh: là việc sử dụng rượu, bia, các chất, dược chất quy định tại khoản (15) Điều này."</w:t>
      </w:r>
    </w:p>
    <w:p>
      <w:r>
        <w:rPr>
          <w:b/>
          <w:i w:val="0"/>
        </w:rPr>
        <w:t>2. Thay thế cụm từ "chất gây nghiện và đồ uống có cồn" bằng cụm từ "chất kích thích thần kinh" tại tiêu đề Điều 1.083 và khoản a của Điều 1.083 quy định tại Phần 1 ban hành kèm theo Thông tư số 01/2011/TT-BGTVT.</w:t>
      </w:r>
    </w:p>
    <w:p>
      <w:r>
        <w:rPr>
          <w:b/>
          <w:i w:val="0"/>
        </w:rPr>
        <w:t>3. Thay thế cụm từ "xác định phần trăm độ cồn trong máu" bằng cụm từ "chất kích thích thần kinh" tại khoản c của Điều 1.083 quy định tại Phần 1 ban hành kèm theo Thông tư số 01/2011/TT-BGTVT.</w:t>
      </w:r>
    </w:p>
    <w:p>
      <w:r>
        <w:rPr>
          <w:b/>
          <w:i w:val="0"/>
        </w:rPr>
        <w:t>4. Bổ sung khoản d, đ, e, g và h Điều 1.083 quy định tại Phần 1 ban hành kèm theo Thông tư số 01/2011/TT-BGTVT như sau:</w:t>
      </w:r>
    </w:p>
    <w:p>
      <w:r>
        <w:rPr>
          <w:b w:val="0"/>
          <w:i w:val="0"/>
        </w:rPr>
        <w:t>"(d) Người khai thác tàu bay phải đảm bảo toàn bộ thành viên tổ bay không có nồng độ cồn trong máu hoặc trong hơi thở khi thực hiện nhiệm vụ bay trên lãnh thổ Việt Nam.</w:t>
      </w:r>
    </w:p>
    <w:p>
      <w:r>
        <w:rPr>
          <w:b w:val="0"/>
          <w:i w:val="0"/>
        </w:rPr>
        <w:t>(đ) Người khai thác tàu bay phải báo cáo Cục HKVN trong vòng 24 giờ kể từ khi phát hiện sử dụng chất kích thích thần kinh.</w:t>
      </w:r>
    </w:p>
    <w:p>
      <w:r>
        <w:rPr>
          <w:b w:val="0"/>
          <w:i w:val="0"/>
        </w:rPr>
        <w:t>(e) Người khai thác tàu bay phải xây dựng nội dung quy trình liên quan đến kiểm tra, giám sát định kỳ, đột xuất nhằm kịp thời phát hiện, ngăn ngừa việc sử dụng các chất kích thích thần kinh của thành viên tổ bay trong hệ thống tài liệu an toàn bay.</w:t>
      </w:r>
    </w:p>
    <w:p>
      <w:r>
        <w:rPr>
          <w:b w:val="0"/>
          <w:i w:val="0"/>
        </w:rPr>
        <w:t>(g) Người khai thác tàu bay phải sử dụng thiết bị đo nồng độ cồn trong hơi thở đáp ứng các tiêu chuẩn kiểm định theo văn bản kỹ thuật đo lường Việt Nam (ĐLVN) 107:2012 của Bộ Khoa học và Công nghệ về phương tiện đo hàm lượng cồn trong hơi thở, được cấp chứng chỉ kiểm định như tem kiểm định, dấu kiểm định, giấy chứng nhận kiểm định theo quy định; đáp ứng chu kỳ kiểm định quy định tại Thông tư số 23/2013/TT-BKHCN ngày 26 tháng 9 năm 2013 của Bộ trưởng Bộ Khoa học Công nghệ quy định về đo lường đối với phương tiện đo lường nhóm 2 (được sửa đổi, bổ sung bởi Thông tư số 07/2019/TT-BKHCN ngày 26 tháng 7 năm 2019).</w:t>
      </w:r>
    </w:p>
    <w:p>
      <w:r>
        <w:rPr>
          <w:b w:val="0"/>
          <w:i w:val="0"/>
        </w:rPr>
        <w:t>(h) Người sử dụng thiết bị đo nồng độ cồn trong hơi thở phải tuân thủ các quy định sau:</w:t>
      </w:r>
    </w:p>
    <w:p>
      <w:r>
        <w:rPr>
          <w:b w:val="0"/>
          <w:i w:val="0"/>
        </w:rPr>
        <w:t>(1) Thực hiện đúng quy trình, quy định liên quan đến sử dụng, bảo quản phương tiện, thiết bị đo nồng độ cồn trong hơi thở theo quy định của nhà sản xuất thiết bị đo nồng độ cồn.</w:t>
      </w:r>
    </w:p>
    <w:p>
      <w:r>
        <w:rPr>
          <w:b w:val="0"/>
          <w:i w:val="0"/>
        </w:rPr>
        <w:t>(2) Tính đến sai số của thiết bị đo được phép theo tiêu chuẩn của Bộ Khoa học và Công nghệ quy định tại khoản g Điều này."</w:t>
      </w:r>
    </w:p>
    <w:p>
      <w:pPr>
        <w:jc w:val="center"/>
      </w:pPr>
      <w:r>
        <w:rPr>
          <w:b/>
          <w:i w:val="0"/>
        </w:rPr>
        <w:t>PHỤ LỤC II</w:t>
      </w:r>
      <w:r>
        <w:br/>
      </w:r>
      <w:r>
        <w:rPr>
          <w:b/>
          <w:i w:val="0"/>
        </w:rPr>
        <w:br/>
        <w:t xml:space="preserve">      Sửa đổi, bổ sung một số điều của Phần 10 Bộ Quy chế An toàn</w:t>
      </w:r>
      <w:r>
        <w:br/>
      </w:r>
      <w:r>
        <w:rPr>
          <w:b/>
          <w:i w:val="0"/>
        </w:rPr>
        <w:br/>
        <w:t xml:space="preserve">      hàng không dân dụng lĩnh vực tàu bay và khai thác tàu bay</w:t>
      </w:r>
    </w:p>
    <w:p>
      <w:pPr>
        <w:jc w:val="center"/>
      </w:pPr>
      <w:r>
        <w:rPr>
          <w:b w:val="0"/>
          <w:i/>
        </w:rPr>
        <w:t>(Ban hành kèm theo thông tư số 65/2024/TT-BGTVT ngày 31 tháng 12 năm 2024 của Bộ trưởng Bộ Giao thông vận tải)</w:t>
      </w:r>
    </w:p>
    <w:p>
      <w:r>
        <w:rPr>
          <w:b/>
          <w:i w:val="0"/>
        </w:rPr>
        <w:t>1. Bãi bỏ điểm 1 khoản a mục 7 Phụ lục VII ban hành kèm theo Thông tư số 09/2023/TT-BGTVT ngày 09 tháng 6 năm 2023 của Bộ trưởng Bộ Giao thông vận tải sửa đổi, bổ sung một số điều của Bộ Quy chế An toàn hàng không dân dụng lĩnh vực tàu bay và khai thác tàu bay ban hành kèm theo Thông tư số 01/2011/TT-BGTVT ngày 27/01/2011 của Bộ trưởng Bộ Giao thông vận tải và các Thông tư sửa đổi, bổ sung Thông tư số 01/2011/TT-BGTVT ngày 27 tháng 01 năm 2011 của Bộ trưởng Bộ Giao thông vận tải (sau đây gọi tắt là Thông tư số 09/2023/TT-BGTVT).</w:t>
      </w:r>
    </w:p>
    <w:p>
      <w:r>
        <w:rPr>
          <w:b/>
          <w:i w:val="0"/>
        </w:rPr>
        <w:t>2. Sửa đổi, bổ sung khoản a, tiêu đề khoản b và khoản d Điều 10.120 quy định tại Phần 10 ban hành kèm theo Thông tư số 01/2011/TT-BGTVT (đã được sửa đổi, bổ sung bởi Thông tư số 09/2023/TT-BGTVT)</w:t>
      </w:r>
    </w:p>
    <w:p>
      <w:r>
        <w:rPr>
          <w:b w:val="0"/>
          <w:i w:val="0"/>
        </w:rPr>
        <w:t>a) Sửa đổi, bổ sung khoản a Điều 10.120 như sau:</w:t>
      </w:r>
    </w:p>
    <w:p>
      <w:r>
        <w:rPr>
          <w:b w:val="0"/>
          <w:i w:val="0"/>
        </w:rPr>
        <w:t>"(a) Thành viên tổ bay không được phép thực hiện nhiệm vụ bay khi:</w:t>
      </w:r>
    </w:p>
    <w:p>
      <w:r>
        <w:rPr>
          <w:b w:val="0"/>
          <w:i w:val="0"/>
        </w:rPr>
        <w:t>1. Có nồng độ cồn trong máu hoặc hơi thở.</w:t>
      </w:r>
    </w:p>
    <w:p>
      <w:r>
        <w:rPr>
          <w:b w:val="0"/>
          <w:i w:val="0"/>
        </w:rPr>
        <w:t>2. Sử dụng các chất kích thích thần kinh trừ trường hợp có chỉ định, xác nhận của giám định viên y khoa chuyên ngành tâm thần kinh đánh giá việc sử dụng các chất kích thích thần kinh không ảnh hưởng đến nhận thức, hành vi của người sử dụng."</w:t>
      </w:r>
    </w:p>
    <w:p>
      <w:r>
        <w:rPr>
          <w:b w:val="0"/>
          <w:i w:val="0"/>
        </w:rPr>
        <w:t>b) Thay thế cụm từ "độ cồn hoặc chất có ảnh hưởng đến nhận thức và hành vi trong máu" bằng cụm từ "chất kích thích thần kinh" tại tiêu đề khoản b Điều 10.120 quy định tại Thông tư số 01/2011/TT-BGTVT.</w:t>
      </w:r>
    </w:p>
    <w:p>
      <w:r>
        <w:rPr>
          <w:b w:val="0"/>
          <w:i w:val="0"/>
        </w:rPr>
        <w:t>c) Sửa đổi bổ sung khoản d Điều 10.120 (đã được sửa đổi, bổ sung bởi Thông tư số 09/2023/TT-BGTVT) như sau:</w:t>
      </w:r>
    </w:p>
    <w:p>
      <w:r>
        <w:rPr>
          <w:b w:val="0"/>
          <w:i w:val="0"/>
        </w:rPr>
        <w:t>"(d) Thành viên tổ bay được quyền từ chối thực hiện nhiệm vụ cùng với người vi phạm các quy định tại Điều này và có trách nhiệm báo cáo đến Người khai thác tàu bay khi phát hiện việc sử dụng các chất kích thích thần kinh của người cùng thực hiện nhiệm vụ trên chuyến bay."</w:t>
      </w:r>
    </w:p>
    <w:p>
      <w:r>
        <w:rPr>
          <w:b/>
          <w:i w:val="0"/>
        </w:rPr>
        <w:t>3. Sửa đổi, bổ sung tiêu đề Phụ lục 1 Điều 10.120 quy định tại Phần 10 ban hành kèm theo Thông tư số 01/2011/TT-BGTVT như sau:</w:t>
      </w:r>
    </w:p>
    <w:p>
      <w:pPr>
        <w:jc w:val="center"/>
      </w:pPr>
      <w:r>
        <w:rPr>
          <w:b/>
          <w:i w:val="0"/>
        </w:rPr>
        <w:t>"PHỤ LỤC 1 CỦA ĐIỀU 10.120 SỬ DỤNG CÁC CHẤT KÍCH THÍCH THẦN KINH".</w:t>
      </w:r>
    </w:p>
    <w:p>
      <w:pPr>
        <w:jc w:val="center"/>
      </w:pPr>
      <w:r>
        <w:rPr>
          <w:b/>
          <w:i w:val="0"/>
        </w:rPr>
        <w:t>PHỤ LỤC III</w:t>
      </w:r>
      <w:r>
        <w:br/>
      </w:r>
      <w:r>
        <w:rPr>
          <w:b/>
          <w:i w:val="0"/>
        </w:rPr>
        <w:br/>
        <w:t xml:space="preserve">      Sửa đổi, bổ sung một số điều của Phần 22 Bộ Quy chế An toàn</w:t>
      </w:r>
      <w:r>
        <w:br/>
      </w:r>
      <w:r>
        <w:rPr>
          <w:b/>
          <w:i w:val="0"/>
        </w:rPr>
        <w:br/>
        <w:t xml:space="preserve">      hàng không dân dụng lĩnh vực tàu bay và khai thác tàu bay</w:t>
      </w:r>
    </w:p>
    <w:p>
      <w:pPr>
        <w:jc w:val="center"/>
      </w:pPr>
      <w:r>
        <w:rPr>
          <w:b w:val="0"/>
          <w:i/>
        </w:rPr>
        <w:t>(Ban hành kèm theo thông tư số 65/2024/TT-BGTVT ngày 31 tháng 12 năm 2024 của Bộ trưởng Bộ Giao thông vận tải)</w:t>
      </w:r>
    </w:p>
    <w:p>
      <w:r>
        <w:rPr>
          <w:b/>
          <w:i w:val="0"/>
        </w:rPr>
        <w:t>1. Bổ sung Điều 22.183 Chương F quy định tại Phần 22 ban hành kèm theo Thông tư số 01/2011/TT-BGTVT như sau:</w:t>
      </w:r>
    </w:p>
    <w:p>
      <w:pPr>
        <w:jc w:val="both"/>
      </w:pPr>
      <w:r>
        <w:rPr>
          <w:b/>
          <w:i w:val="0"/>
        </w:rPr>
        <w:t>"22.183 QUY ĐỊNH VỀ QUẢN LÝ THÀNH VIÊN TỔ BAY SỬ DỤNG CÁC CHẤT KÍCH THÍCH THẦN KINH</w:t>
      </w:r>
    </w:p>
    <w:p>
      <w:r>
        <w:rPr>
          <w:b w:val="0"/>
          <w:i w:val="0"/>
        </w:rPr>
        <w:t>(a) Trường hợp thành viên tổ bay sử dụng hoặc không chấp hành quy định về kiểm tra các chất kích thích thần kinh sẽ không được phép thực hiện các nhiệm vụ bay đi và đến Việt Nam trong vòng một năm kể từ ngày vi phạm.</w:t>
      </w:r>
    </w:p>
    <w:p>
      <w:r>
        <w:rPr>
          <w:b w:val="0"/>
          <w:i w:val="0"/>
        </w:rPr>
        <w:t>(b) Người khai thác tàu bay nước ngoài khi khai thác các chuyến bay tại Việt Nam theo hợp đồng thuê tàu bay có tổ bay với Người khai thác tàu bay của Việt Nam phải tuân thủ quy định tại khoản d, đ, e, g, h Điều 1.083 quy định tại Phần 1 Bộ quy chế an toàn hàng không dân dụng lĩnh vực tàu bay và khai thác tàu bay. Nếu không tuân thủ quy định này, Người khai thác tàu bay nước ngoài sẽ không được phép khai thác các chuyến bay tại Việt Nam trong vòng một năm kể từ ngày vi phạm."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