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663/TC-QĐ-TCNH Ban hành quy tắc bảo hiểm mọi rủi ro về xây dựng</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663/TC-QĐ-TCNH</w:t>
        <w:br/>
        <w:t xml:space="preserve">    </w:t>
      </w:r>
      <w:r>
        <w:rPr>
          <w:b w:val="0"/>
          <w:i w:val="0"/>
        </w:rPr>
        <w:br/>
      </w:r>
      <w:r>
        <w:rPr>
          <w:b w:val="0"/>
          <w:i/>
        </w:rPr>
        <w:br/>
        <w:t xml:space="preserve">     Hà Nội, ngày 24 tháng 6 năm 1995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663/TC-QĐ-TCNH</w:t>
        <w:br/>
        <w:t xml:space="preserve">    </w:t>
      </w:r>
      <w:r>
        <w:rPr>
          <w:b w:val="0"/>
          <w:i w:val="0"/>
        </w:rPr>
        <w:br/>
      </w:r>
      <w:r>
        <w:rPr>
          <w:b w:val="0"/>
          <w:i/>
        </w:rPr>
        <w:br/>
        <w:t xml:space="preserve">     Hà Nội, ngày 24 tháng 6 năm 1995</w:t>
        <w:br/>
        <w:t xml:space="preserve">    </w:t>
      </w:r>
      <w:r>
        <w:rPr>
          <w:b w:val="0"/>
          <w:i w:val="0"/>
        </w:rPr>
        <w:br/>
      </w:r>
    </w:p>
    <w:p>
      <w:pPr>
        <w:jc w:val="center"/>
      </w:pPr>
      <w:r>
        <w:rPr>
          <w:b w:val="0"/>
          <w:i w:val="0"/>
        </w:rPr>
        <w:br/>
        <w:t xml:space="preserve">     Số: 663/TC-QĐ-TCNH</w:t>
        <w:br/>
        <w:t xml:space="preserve">    </w:t>
      </w:r>
    </w:p>
    <w:p>
      <w:pPr>
        <w:jc w:val="center"/>
      </w:pPr>
      <w:r>
        <w:rPr>
          <w:b w:val="0"/>
          <w:i w:val="0"/>
        </w:rPr>
        <w:br/>
        <w:t xml:space="preserve">     Hà Nội, ngày 24 tháng 6 năm 1995</w:t>
        <w:br/>
        <w:t xml:space="preserve">    </w:t>
      </w:r>
    </w:p>
    <w:p>
      <w:r>
        <w:rPr>
          <w:b/>
          <w:i w:val="0"/>
        </w:rPr>
        <w:t>QUYẾT ĐỊNH CỦA BỘ TRƯỞNG BỘ TÀI CHÍNH</w:t>
      </w:r>
      <w:r>
        <w:rPr>
          <w:b w:val="0"/>
          <w:i w:val="0"/>
        </w:rPr>
        <w:t xml:space="preserve"> </w:t>
      </w:r>
    </w:p>
    <w:p>
      <w:r>
        <w:rPr>
          <w:b/>
          <w:i w:val="0"/>
        </w:rPr>
        <w:t>BỘ TRƯỞNG BỘ TÀI CHÍNH</w:t>
      </w:r>
    </w:p>
    <w:p>
      <w:r>
        <w:rPr>
          <w:b w:val="0"/>
          <w:i/>
        </w:rPr>
        <w:t>Căn cứ Nghị định số 178/CP ngày 28/10/1994 của Chính phủ về nhiệm vụ, quyền hạn và tổ chức bộ máy Bộ Tài chính;</w:t>
      </w:r>
    </w:p>
    <w:p>
      <w:r>
        <w:rPr>
          <w:b w:val="0"/>
          <w:i/>
        </w:rPr>
        <w:t>Căn cứ Điều lệ "Quản lý đầu tư và xây dựng" ban hành kèm theo Nghị định số 177/CP ngày 20/10/1994 của Chính phủ;</w:t>
      </w:r>
    </w:p>
    <w:p>
      <w:r>
        <w:rPr>
          <w:b w:val="0"/>
          <w:i/>
        </w:rPr>
        <w:t>Căn cứ Thông tư số 105/TC-ĐT ngày 08/12/1994 của Bộ Tài chính hướng dẫn bảo hiểm các công trình xây dựng;</w:t>
      </w:r>
    </w:p>
    <w:p>
      <w:r>
        <w:rPr>
          <w:b w:val="0"/>
          <w:i/>
        </w:rPr>
        <w:t>Theo đề nghị của ông Tổng Giám đốc Tổng Công ty bảo hiểm Việt Nam và ông Vụ trưởng Vụ Tài chính các Ngân hàng và Tổ chức Tài chính;</w:t>
      </w:r>
      <w:r>
        <w:rPr>
          <w:b/>
          <w:i w:val="0"/>
        </w:rPr>
        <w:t xml:space="preserve"> </w:t>
      </w:r>
    </w:p>
    <w:p>
      <w:r>
        <w:rPr>
          <w:b/>
          <w:i w:val="0"/>
        </w:rPr>
        <w:t>QUYẾT ĐỊNH:</w:t>
      </w:r>
    </w:p>
    <w:p>
      <w:r>
        <w:rPr>
          <w:b/>
          <w:i w:val="0"/>
        </w:rPr>
        <w:t xml:space="preserve">Điều 1: </w:t>
      </w:r>
      <w:r>
        <w:rPr>
          <w:b w:val="0"/>
          <w:i w:val="0"/>
        </w:rPr>
        <w:t>Ban hành kèm theo Quyết định này Quy tắc bảo hiểm mọi rủi ro về xây dựng; Quy tắc bảo hiểm mọi rủi ro về lắp đặt; Biểu phí bảo hiểm xây dựng và lắp đặt; Phụ phí và Biểu mức khấu trừ đối với tổn thất vật chất áp dụng chung cho các doanh nghiệp bảo hiểm được phép hoạt động tại Việt Nam và các chủ đầu tư (bao gồm cả các chủ đầu tư dự án đầu tư thuộc sở hữu Nhà nước hướng dẫn tại Thông tư số 105/TC/ĐT ngày 8/12/1994 của Bộ Tài chính.</w:t>
      </w:r>
    </w:p>
    <w:p>
      <w:r>
        <w:rPr>
          <w:b/>
          <w:i w:val="0"/>
        </w:rPr>
        <w:t>Điều 2:</w:t>
      </w:r>
      <w:r>
        <w:rPr>
          <w:b/>
          <w:i w:val="0"/>
        </w:rPr>
        <w:t xml:space="preserve"> </w:t>
      </w:r>
      <w:r>
        <w:rPr>
          <w:b w:val="0"/>
          <w:i w:val="0"/>
        </w:rPr>
        <w:t>Trên cơ sở cân nhắc đến kết quả kinh doanh, tuỳ từng thời gian cụ thể, các doanh nghiệp bảo hiểm được chủ động điều chỉnh tăng giảm mức phí bảo hiểm trong phạm vi 15% so với biểu phí quy định nhưng phải thông báo với Bộ Tài chính.</w:t>
      </w:r>
    </w:p>
    <w:p>
      <w:r>
        <w:rPr>
          <w:b/>
          <w:i w:val="0"/>
        </w:rPr>
        <w:t xml:space="preserve">Điều 3: </w:t>
      </w:r>
      <w:r>
        <w:rPr>
          <w:b w:val="0"/>
          <w:i w:val="0"/>
        </w:rPr>
        <w:t>Căn cứ vào Biểu phí bảo hiểm xây dựng và lắp đặt ban hành theo Quyết định này, chủ đầu tư các dự án đầu tư phối hợp với các doanh nghiệp bảo hiểm tính toán phí bảo hiểm để đưa vào dự toán và làm căn cứ quyết toán công trình.</w:t>
      </w:r>
    </w:p>
    <w:p>
      <w:r>
        <w:rPr>
          <w:b/>
          <w:i w:val="0"/>
        </w:rPr>
        <w:t>Điều 4:</w:t>
      </w:r>
      <w:r>
        <w:rPr>
          <w:b/>
          <w:i w:val="0"/>
        </w:rPr>
        <w:t xml:space="preserve"> </w:t>
      </w:r>
      <w:r>
        <w:rPr>
          <w:b w:val="0"/>
          <w:i w:val="0"/>
        </w:rPr>
        <w:t>Quyết định này có hiệu lực kể từ ngày ký. Bộ trưởng, Thủ trưởng các cơ quan ngang Bộ, Thủ trưởng các cơ quan thuộc Chính phủ, Chủ tịch Ủy ban ban Nhân dân các tỉnh, thành phố trực thuộc Trung ương có trách nhiệm triển khai Quyết định này đến các chủ đầu tư thuộc phạm vi quản lý.</w:t>
      </w:r>
    </w:p>
    <w:p>
      <w:r>
        <w:rPr>
          <w:b/>
          <w:i w:val="0"/>
        </w:rPr>
        <w:t>Điều 5:</w:t>
      </w:r>
      <w:r>
        <w:rPr>
          <w:b/>
          <w:i w:val="0"/>
        </w:rPr>
        <w:t xml:space="preserve"> </w:t>
      </w:r>
      <w:r>
        <w:rPr>
          <w:b w:val="0"/>
          <w:i w:val="0"/>
        </w:rPr>
        <w:t>Vụ trưởng Vụ Tài chính các Ngân hàng và Tổ chức tài chính, Tổng cục trưởng Tổng cục đầu tư và phát triển, Chánh Văn phòng Bộ Tài chính và thủ trưởng các đưn vị có liên quan chịu trách nhiệm kiểm tra, giám sát việc thi hành Quyết định này.</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