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67/1999/QĐ-BCN Về việc ban hành bộ “Đơn giá xây dựng cơ bản chuyên ngành công trình đường dây tải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Về việc ban hành bộ “đơn giá xây dựng cơ bản chuyên ngành</w:t>
      </w:r>
    </w:p>
    <w:p>
      <w:r>
        <w:rPr>
          <w:b/>
          <w:i w:val="0"/>
        </w:rPr>
        <w:t>công trình đường dây tải điện”</w:t>
      </w:r>
    </w:p>
    <w:p>
      <w:r>
        <w:rPr>
          <w:b/>
          <w:i w:val="0"/>
        </w:rPr>
        <w:t>____________</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“Quy chế quản lý đầu tư và xây dựng” ban hành kèm theo Nghị định số 52/1999/NĐ-CP ngày 08 tháng 7 năm 1999 của Chính phủ;</w:t>
      </w:r>
    </w:p>
    <w:p>
      <w:r>
        <w:rPr>
          <w:b w:val="0"/>
          <w:i/>
        </w:rPr>
        <w:t>Trên cơ sở “Định mức dự toán chuyên ngành xây lắp đường dây tải điện” được ban hành tại Quyết định số 2005/QĐ-KHĐT ngày 07/9/1999 của Bộ Công nghiệp;</w:t>
      </w:r>
    </w:p>
    <w:p>
      <w:r>
        <w:rPr>
          <w:b w:val="0"/>
          <w:i/>
        </w:rPr>
        <w:t xml:space="preserve">Sau khi thống nhất với Bộ Xây dựng (văn bản số 2605/BXD-VKT ngày 22 tháng 9 năm 1999 của Bộ Xây dựng thỏa thuận ban hành “Đơn giá xây dựng cơ bản công trình đường dây tải điện”); </w:t>
      </w:r>
    </w:p>
    <w:p>
      <w:r>
        <w:rPr>
          <w:b w:val="0"/>
          <w:i/>
        </w:rPr>
        <w:t>Theo đề nghị của Vụ trưởng Vụ Kế hoạch và Đầu tư,</w:t>
      </w:r>
    </w:p>
    <w:p>
      <w:r>
        <w:rPr>
          <w:b/>
          <w:i w:val="0"/>
        </w:rPr>
        <w:t>QUYẾT ĐỊNH</w:t>
      </w:r>
    </w:p>
    <w:p>
      <w:pPr>
        <w:jc w:val="both"/>
      </w:pPr>
      <w:r>
        <w:rPr>
          <w:b/>
          <w:i w:val="0"/>
        </w:rPr>
        <w:t>Điều 1.</w:t>
      </w:r>
      <w:r>
        <w:rPr>
          <w:b w:val="0"/>
          <w:i w:val="0"/>
        </w:rPr>
        <w:t xml:space="preserve"> Ban hành kèm theo Quyết định này bộ "Đơn giá xây dựng cơ bản (XDCB) chuyên ngành xâp lắp đường dây tải điện".</w:t>
      </w:r>
    </w:p>
    <w:p>
      <w:pPr>
        <w:jc w:val="both"/>
      </w:pPr>
      <w:r>
        <w:rPr>
          <w:b/>
          <w:i w:val="0"/>
        </w:rPr>
        <w:t xml:space="preserve">Điều 2. </w:t>
      </w:r>
      <w:r>
        <w:rPr>
          <w:b w:val="0"/>
          <w:i w:val="0"/>
        </w:rPr>
        <w:t>Bộ Đơn giá này dùng để lập, thẩm tra xét duyệt dự toán, giá xét thầu xây lắp đường dây và thành quyết toán cho các công trình được phép chỉ định thầu.</w:t>
      </w:r>
    </w:p>
    <w:p>
      <w:pPr>
        <w:jc w:val="both"/>
      </w:pPr>
      <w:r>
        <w:rPr>
          <w:b/>
          <w:i w:val="0"/>
        </w:rPr>
        <w:t>Điều 3.</w:t>
      </w:r>
      <w:r>
        <w:rPr>
          <w:b w:val="0"/>
          <w:i w:val="0"/>
        </w:rPr>
        <w:t xml:space="preserve"> Bộ "Đơn giá XDCB chuyên ngành xây lắp đường dây tải điện" được áp dụng thống nhất trong cả nước từ ngày 01 tháng 01 năm 1999 và thay thế cho Bộ "Đơn giá XDCB chuyên ngành đường dây tải điện trên không" ban hành kèm theo Quyết định số 3285/QĐ-KHĐT ngày 29 tháng 10 năm 1996 của Bộ Công nghiệp.</w:t>
      </w:r>
    </w:p>
    <w:p>
      <w:pPr>
        <w:jc w:val="both"/>
      </w:pPr>
      <w:r>
        <w:rPr>
          <w:b w:val="0"/>
          <w:i w:val="0"/>
        </w:rPr>
        <w:t>Tổng Công ty Điện lực Việt Nam tổ chức theo dõi, kiểm tra quá trình thực hiện và phản ánh kịp thời những vấn đề cần điều chỉnh, bổ sung cho phù hợp để Bộ Công nghiệp nghiên cứu giải quyết.</w:t>
      </w:r>
    </w:p>
    <w:p>
      <w:pPr>
        <w:jc w:val="both"/>
      </w:pPr>
      <w:r>
        <w:rPr>
          <w:b/>
          <w:i w:val="0"/>
        </w:rPr>
        <w:t xml:space="preserve">Điều 4. </w:t>
      </w:r>
      <w:r>
        <w:rPr>
          <w:b w:val="0"/>
          <w:i w:val="0"/>
        </w:rPr>
        <w:t>Các Bộ, cơ quan ngang Bộ, cơ quan thuộc Chính phủ, UBND tỉnh, thành phố trực thuộc Trung ương và các Tổng Công ty, các đơn vị liên quan có trách nhiệm tổ chức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CÔNG NGHIỆP</w:t>
            </w:r>
            <w:r>
              <w:br/>
            </w:r>
            <w:r>
              <w:rPr>
                <w:b/>
                <w:i w:val="0"/>
              </w:rPr>
              <w:br/>
              <w:t xml:space="preserve">         THỨ TRƯỞNG</w:t>
            </w:r>
            <w:r>
              <w:br/>
            </w:r>
            <w:r>
              <w:rPr>
                <w:b/>
                <w:i/>
              </w:rPr>
              <w:t>(Đã ký)</w:t>
            </w:r>
            <w:r>
              <w:rPr>
                <w:b w:val="0"/>
                <w:i w:val="0"/>
              </w:rPr>
              <w:br/>
            </w:r>
            <w:r>
              <w:rPr>
                <w:b w:val="0"/>
                <w:i w:val="0"/>
              </w:rPr>
              <w:t xml:space="preserve"> </w:t>
            </w:r>
            <w:r>
              <w:rPr>
                <w:b w:val="0"/>
                <w:i w:val="0"/>
              </w:rPr>
              <w:br/>
            </w:r>
            <w:r>
              <w:rPr>
                <w:b/>
                <w:i w:val="0"/>
              </w:rPr>
              <w:t>Thái Phụng Nê</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