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67/2001/QĐ-TTg Về việc sáp nhập Tổng công ty Cơ khí năng lượng và mỏ vào Tổng công ty Than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67/2001/QĐ-TTg</w:t>
        <w:br/>
        <w:t xml:space="preserve">     </w:t>
      </w:r>
      <w:r>
        <w:rPr>
          <w:b w:val="0"/>
          <w:i w:val="0"/>
        </w:rPr>
        <w:br/>
      </w:r>
      <w:r>
        <w:rPr>
          <w:b w:val="0"/>
          <w:i/>
        </w:rPr>
        <w:br/>
        <w:t xml:space="preserve">      Hà Nội, ngày 27 tháng 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67/2001/QĐ-TTg</w:t>
        <w:br/>
        <w:t xml:space="preserve">     </w:t>
      </w:r>
      <w:r>
        <w:rPr>
          <w:b w:val="0"/>
          <w:i w:val="0"/>
        </w:rPr>
        <w:br/>
      </w:r>
      <w:r>
        <w:rPr>
          <w:b w:val="0"/>
          <w:i/>
        </w:rPr>
        <w:br/>
        <w:t xml:space="preserve">      Hà Nội, ngày 27 tháng 4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67/2001/QĐ-TTg</w:t>
        <w:br/>
        <w:t xml:space="preserve">     </w:t>
      </w:r>
      <w:r>
        <w:rPr>
          <w:b w:val="0"/>
          <w:i w:val="0"/>
        </w:rPr>
        <w:br/>
      </w:r>
      <w:r>
        <w:rPr>
          <w:b w:val="0"/>
          <w:i/>
        </w:rPr>
        <w:br/>
        <w:t xml:space="preserve">      Hà Nội, ngày 27 tháng 4 năm 2001</w:t>
        <w:br/>
        <w:t xml:space="preserve">     </w:t>
      </w:r>
      <w:r>
        <w:rPr>
          <w:b w:val="0"/>
          <w:i w:val="0"/>
        </w:rPr>
        <w:br/>
      </w:r>
    </w:p>
    <w:p>
      <w:pPr>
        <w:jc w:val="center"/>
      </w:pPr>
      <w:r>
        <w:rPr>
          <w:b w:val="0"/>
          <w:i w:val="0"/>
        </w:rPr>
        <w:br/>
        <w:t xml:space="preserve">      Số: 67/2001/QĐ-TTg</w:t>
        <w:br/>
        <w:t xml:space="preserve">     </w:t>
      </w:r>
    </w:p>
    <w:p>
      <w:pPr>
        <w:jc w:val="center"/>
      </w:pPr>
      <w:r>
        <w:rPr>
          <w:b w:val="0"/>
          <w:i w:val="0"/>
        </w:rPr>
        <w:br/>
        <w:t xml:space="preserve">      Hà Nội, ngày 27 tháng 4 năm 2001</w:t>
        <w:br/>
        <w:t xml:space="preserve">     </w:t>
      </w:r>
    </w:p>
    <w:p>
      <w:r>
        <w:rPr>
          <w:b w:val="0"/>
          <w:i w:val="0"/>
        </w:rPr>
        <w:br/>
      </w:r>
      <w:r>
        <w:rPr>
          <w:b/>
          <w:i w:val="0"/>
        </w:rPr>
        <w:t xml:space="preserve">QUYẾT ĐỊNH </w:t>
      </w:r>
      <w:r>
        <w:rPr>
          <w:b w:val="0"/>
          <w:i w:val="0"/>
        </w:rPr>
        <w:br/>
      </w:r>
      <w:r>
        <w:rPr>
          <w:b/>
          <w:i w:val="0"/>
        </w:rPr>
        <w:t xml:space="preserve">Về việc sáp nhập Tổng công ty Cơ khí năng lượng và mỏ </w:t>
      </w:r>
      <w:r>
        <w:rPr>
          <w:b w:val="0"/>
          <w:i w:val="0"/>
        </w:rPr>
        <w:br/>
      </w:r>
      <w:r>
        <w:rPr>
          <w:b/>
          <w:i w:val="0"/>
        </w:rPr>
        <w:t>vào Tổng công ty Than Việt Nam</w:t>
      </w:r>
      <w:r>
        <w:rPr>
          <w:b w:val="0"/>
          <w:i w:val="0"/>
        </w:rPr>
        <w:br/>
      </w:r>
      <w:r>
        <w:rPr>
          <w:b/>
          <w:i w:val="0"/>
        </w:rPr>
        <w:t>_____________________</w:t>
      </w:r>
      <w:r>
        <w:rPr>
          <w:b w:val="0"/>
          <w:i w:val="0"/>
        </w:rPr>
        <w:t xml:space="preserve"> </w:t>
      </w:r>
      <w:r>
        <w:rPr>
          <w:b w:val="0"/>
          <w:i w:val="0"/>
        </w:rPr>
        <w:br/>
      </w:r>
      <w:r>
        <w:rPr>
          <w:b/>
          <w:i w:val="0"/>
        </w:rPr>
        <w:t xml:space="preserve"> THỦ TƯỚNG CHÍNH PHỦ</w:t>
      </w:r>
      <w:r>
        <w:rPr>
          <w:b w:val="0"/>
          <w:i w:val="0"/>
        </w:rPr>
        <w:br/>
      </w:r>
      <w:r>
        <w:rPr>
          <w:b w:val="0"/>
          <w:i/>
        </w:rPr>
        <w:t>Căn cứ Luật Tổ chức Chính phủ ngày 30 tháng 9 năm 1992;</w:t>
      </w:r>
      <w:r>
        <w:rPr>
          <w:b w:val="0"/>
          <w:i w:val="0"/>
        </w:rPr>
        <w:br/>
      </w:r>
      <w:r>
        <w:rPr>
          <w:b w:val="0"/>
          <w:i/>
        </w:rPr>
        <w:t>Căn cứ Luật Doanh nghiệp Nhà nước ngày 20 tháng 4 năm 1995;</w:t>
      </w:r>
      <w:r>
        <w:rPr>
          <w:b w:val="0"/>
          <w:i w:val="0"/>
        </w:rPr>
        <w:br/>
      </w:r>
      <w:r>
        <w:rPr>
          <w:b w:val="0"/>
          <w:i/>
        </w:rPr>
        <w:t>Xét đề nghị của Bộ trưởng Bộ Công nghiệp (tại công văn số 4377/CV-TCCB ngày 20 tháng 11 năm 2000 và số 875/CV-TCCB ngày 14 tháng 3 năm 2001); ý kiến của các Bộ : Kế hoạch và Đầu tư, Tài chính, Ban Tổ chức-Cán bộ Chính phủ, Ban Kinh tế Trung ương, ủy ban nhân dân tỉnh Quảng Ninh, Hội đồng quản trị Tổng công ty Than Việt Nam, Hội đồng quản trị Tổng công ty Cơ khí năng lượng và mỏ,</w:t>
      </w:r>
      <w:r>
        <w:rPr>
          <w:b w:val="0"/>
          <w:i w:val="0"/>
        </w:rPr>
        <w:br/>
      </w:r>
      <w:r>
        <w:rPr>
          <w:b/>
          <w:i w:val="0"/>
        </w:rPr>
        <w:t>QUYẾT ĐỊNH:</w:t>
      </w:r>
      <w:r>
        <w:rPr>
          <w:b w:val="0"/>
          <w:i w:val="0"/>
        </w:rPr>
        <w:br/>
      </w:r>
      <w:r>
        <w:rPr>
          <w:b/>
          <w:i w:val="0"/>
        </w:rPr>
        <w:t xml:space="preserve">Điều 1. </w:t>
      </w:r>
      <w:r>
        <w:rPr>
          <w:b w:val="0"/>
          <w:i w:val="0"/>
        </w:rPr>
        <w:t>Sáp nhập Tổng công ty Cơ khí năng lượng và mỏ thuộc Bộ Công nghiệp vào Tổng công ty Than Việt Nam.</w:t>
      </w:r>
      <w:r>
        <w:rPr>
          <w:b w:val="0"/>
          <w:i w:val="0"/>
        </w:rPr>
        <w:br/>
      </w:r>
      <w:r>
        <w:rPr>
          <w:b/>
          <w:i w:val="0"/>
        </w:rPr>
        <w:t>Điều 2.</w:t>
      </w:r>
      <w:r>
        <w:rPr>
          <w:b w:val="0"/>
          <w:i w:val="0"/>
        </w:rPr>
        <w:t xml:space="preserve"> Giao Bộ trưởng Bộ Công nghiệp chỉ đạo thực hiện việc sáp nhập nêu trên theo đúng quy định hiện hành.</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Các Bộ trưởng : Công nghiệp, Tài chính, Kế hoạch và Đầu tư, Lao động - Thương binh và Xã hội, Bộ trưởng, Trưởng Ban Tổ chức - Cán bộ Chính phủ, Chủ tịch Hội đồng quản trị Tổng công ty Than Việt Nam, Chủ tịch Hội đồng Quản trị Tổng công ty Cơ khí năng lượng và mỏ, Thủ trưởng các cơ quan có liên quan chịu trách nhiệm thi hành Quyết định này .</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