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72/2000/QĐ-TTg Phê duyệt doanh nghiệp Nhà nước hạng đặc biệt</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72/2000/QĐ-TTg</w:t>
      </w:r>
      <w:r>
        <w:rPr>
          <w:b w:val="0"/>
          <w:i w:val="0"/>
        </w:rPr>
        <w:br/>
      </w:r>
      <w:r>
        <w:rPr>
          <w:b w:val="0"/>
          <w:i w:val="0"/>
        </w:rPr>
        <w:br/>
      </w:r>
      <w:r>
        <w:rPr>
          <w:b w:val="0"/>
          <w:i/>
        </w:rPr>
        <w:br/>
      </w:r>
      <w:r>
        <w:rPr>
          <w:b w:val="0"/>
          <w:i/>
        </w:rPr>
        <w:t>Hà Nội, ngày 21 tháng 6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72/2000/QĐ-TTg</w:t>
      </w:r>
      <w:r>
        <w:rPr>
          <w:b w:val="0"/>
          <w:i w:val="0"/>
        </w:rPr>
        <w:br/>
      </w:r>
      <w:r>
        <w:rPr>
          <w:b w:val="0"/>
          <w:i w:val="0"/>
        </w:rPr>
        <w:br/>
      </w:r>
      <w:r>
        <w:rPr>
          <w:b w:val="0"/>
          <w:i/>
        </w:rPr>
        <w:br/>
      </w:r>
      <w:r>
        <w:rPr>
          <w:b w:val="0"/>
          <w:i/>
        </w:rPr>
        <w:t>Hà Nội, ngày 21 tháng 6 năm 2000</w:t>
      </w:r>
      <w:r>
        <w:rPr>
          <w:b w:val="0"/>
          <w:i/>
        </w:rPr>
        <w:br/>
      </w:r>
      <w:r>
        <w:rPr>
          <w:b w:val="0"/>
          <w:i w:val="0"/>
        </w:rPr>
        <w:br/>
      </w:r>
    </w:p>
    <w:p>
      <w:pPr>
        <w:jc w:val="center"/>
      </w:pPr>
      <w:r>
        <w:rPr>
          <w:b w:val="0"/>
          <w:i w:val="0"/>
        </w:rPr>
        <w:br/>
      </w:r>
      <w:r>
        <w:rPr>
          <w:b w:val="0"/>
          <w:i w:val="0"/>
        </w:rPr>
        <w:t>Số: 72/2000/QĐ-TTg</w:t>
      </w:r>
      <w:r>
        <w:rPr>
          <w:b w:val="0"/>
          <w:i w:val="0"/>
        </w:rPr>
        <w:br/>
      </w:r>
    </w:p>
    <w:p>
      <w:pPr>
        <w:jc w:val="center"/>
      </w:pPr>
      <w:r>
        <w:rPr>
          <w:b w:val="0"/>
          <w:i w:val="0"/>
        </w:rPr>
        <w:br/>
      </w:r>
      <w:r>
        <w:rPr>
          <w:b w:val="0"/>
          <w:i w:val="0"/>
        </w:rPr>
        <w:t>Hà Nội, ngày 21 tháng 6 năm 2000</w:t>
      </w:r>
      <w:r>
        <w:rPr>
          <w:b w:val="0"/>
          <w:i w:val="0"/>
        </w:rPr>
        <w:br/>
      </w:r>
    </w:p>
    <w:p>
      <w:r>
        <w:rPr>
          <w:b w:val="0"/>
          <w:i w:val="0"/>
        </w:rPr>
        <w:br/>
      </w:r>
      <w:r>
        <w:rPr>
          <w:b/>
          <w:i w:val="0"/>
        </w:rPr>
        <w:t>QUYẾT ĐỊNH</w:t>
      </w:r>
      <w:r>
        <w:rPr>
          <w:b w:val="0"/>
          <w:i w:val="0"/>
        </w:rPr>
        <w:br/>
      </w:r>
      <w:r>
        <w:rPr>
          <w:b/>
          <w:i/>
        </w:rPr>
        <w:t>Phê duyệt doanh nghiệp Nhà nước hạng đặc biệt</w:t>
      </w:r>
      <w:r>
        <w:rPr>
          <w:b w:val="0"/>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26/CP ngày 23 tháng 5 năm 1993 của Chính phủ quy định tạm thời chế độ tiền lương mới trong các doanh nghiệp;</w:t>
      </w:r>
      <w:r>
        <w:rPr>
          <w:b w:val="0"/>
          <w:i w:val="0"/>
        </w:rPr>
        <w:br/>
      </w:r>
      <w:r>
        <w:rPr>
          <w:b w:val="0"/>
          <w:i/>
        </w:rPr>
        <w:t>Căn cứ Quyết định số 185/TTg ngày 28 tháng 3 năm 1996 của Thủ tướng Chính phủ về doanh nghiệp Nhà nước hạng đặc biệt;</w:t>
      </w:r>
      <w:r>
        <w:rPr>
          <w:b w:val="0"/>
          <w:i w:val="0"/>
        </w:rPr>
        <w:br/>
      </w:r>
      <w:r>
        <w:rPr>
          <w:b w:val="0"/>
          <w:i/>
        </w:rPr>
        <w:t>Xét đề nghị của Bộ trưởng Bộ Lao động - Thương binh và Xã hội, Bộ trưởng Bộ Tài chính,</w:t>
      </w:r>
      <w:r>
        <w:rPr>
          <w:b w:val="0"/>
          <w:i w:val="0"/>
        </w:rPr>
        <w:br/>
      </w:r>
      <w:r>
        <w:rPr>
          <w:b/>
          <w:i w:val="0"/>
        </w:rPr>
        <w:t>QUYẾT ĐỊNH:</w:t>
      </w:r>
      <w:r>
        <w:rPr>
          <w:b w:val="0"/>
          <w:i w:val="0"/>
        </w:rPr>
        <w:br/>
      </w:r>
      <w:r>
        <w:rPr>
          <w:b/>
          <w:i w:val="0"/>
        </w:rPr>
        <w:t xml:space="preserve">Điều 1. </w:t>
      </w:r>
      <w:r>
        <w:rPr>
          <w:b w:val="0"/>
          <w:i w:val="0"/>
        </w:rPr>
        <w:t>Xếp doanh nghiệp Nhà nước hạng đặc biệt đối với Tổng công ty Du lịch Sài Gòn.</w:t>
      </w:r>
      <w:r>
        <w:rPr>
          <w:b w:val="0"/>
          <w:i w:val="0"/>
        </w:rPr>
        <w:br/>
      </w:r>
      <w:r>
        <w:rPr>
          <w:b/>
          <w:i w:val="0"/>
        </w:rPr>
        <w:t xml:space="preserve">Điều 2. </w:t>
      </w:r>
      <w:r>
        <w:rPr>
          <w:b w:val="0"/>
          <w:i w:val="0"/>
        </w:rPr>
        <w:t>Bộ trưởng Bộ Lao động - Thương binh và Xã hội, Bộ trưởng Bộ Tài chính chịu trách nhiệm hướng dẫn việc chuyển xếp lương và phụ cấp chức vụ của các viên chức quản lý doanh nghiệp Nhà nước hạng đặc biệt đối với Tổng công ty Du lịch Sài Gòn.</w:t>
      </w:r>
      <w:r>
        <w:rPr>
          <w:b w:val="0"/>
          <w:i w:val="0"/>
        </w:rPr>
        <w:br/>
      </w:r>
      <w:r>
        <w:rPr>
          <w:b/>
          <w:i w:val="0"/>
        </w:rPr>
        <w:t xml:space="preserve">Điều 3. </w:t>
      </w:r>
      <w:r>
        <w:rPr>
          <w:b w:val="0"/>
          <w:i w:val="0"/>
        </w:rPr>
        <w:t>Quyết định này có hiệu lực thi hành kể từ ngày 01 tháng 7 năm 2000.</w:t>
      </w:r>
      <w:r>
        <w:rPr>
          <w:b w:val="0"/>
          <w:i w:val="0"/>
        </w:rPr>
        <w:br/>
      </w:r>
      <w:r>
        <w:rPr>
          <w:b/>
          <w:i w:val="0"/>
        </w:rPr>
        <w:t xml:space="preserve">Điều 4. </w:t>
      </w:r>
      <w:r>
        <w:rPr>
          <w:b w:val="0"/>
          <w:i w:val="0"/>
        </w:rPr>
        <w:t>Các Bộ trưởng, Thủ trưởng cơ quan ngang Bộ, Thủ trưởng cơ quan thuộc Chính phủ, Chủ tịch Ủy ban nhân dân tỉnh, thành phố trực thuộc Trung ương chịu trách nhiệm thi hành Quyết định này.</w:t>
      </w:r>
      <w:r>
        <w:rPr>
          <w:b w:val="0"/>
          <w:i w:val="0"/>
        </w:rPr>
        <w:br/>
      </w:r>
    </w:p>
    <w:p>
      <w:r>
        <w:rPr>
          <w:b w:val="0"/>
          <w:i w:val="0"/>
        </w:rPr>
        <w:br/>
      </w:r>
      <w:r>
        <w:rPr>
          <w:b/>
          <w:i w:val="0"/>
        </w:rPr>
        <w:br/>
      </w:r>
      <w:r>
        <w:rPr>
          <w:b/>
          <w:i w:val="0"/>
        </w:rPr>
        <w:br/>
      </w:r>
      <w:r>
        <w:rPr>
          <w:b/>
          <w:i w:val="0"/>
        </w:rPr>
        <w:t>KT. THỦ TƯỚNG CHÍNH PHỦ</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 CHÍNH PHỦ</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 CHÍNH PHỦ</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