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72/2000/QĐ-UB ban hành điều lệ quản lý Khu công nghiệp Tiên Sơn-Bắc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72/2000/QĐ-UB</w:t>
      </w:r>
      <w:r>
        <w:rPr>
          <w:b w:val="0"/>
          <w:i w:val="0"/>
        </w:rPr>
        <w:br/>
      </w:r>
      <w:r>
        <w:rPr>
          <w:b w:val="0"/>
          <w:i w:val="0"/>
        </w:rPr>
        <w:br/>
      </w:r>
      <w:r>
        <w:rPr>
          <w:b w:val="0"/>
          <w:i/>
        </w:rPr>
        <w:br/>
      </w:r>
      <w:r>
        <w:rPr>
          <w:b w:val="0"/>
          <w:i/>
        </w:rPr>
        <w:t>Bắc Ninh, ngày 26 tháng 7 năm 2000</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72/2000/QĐ-UB</w:t>
      </w:r>
      <w:r>
        <w:rPr>
          <w:b w:val="0"/>
          <w:i w:val="0"/>
        </w:rPr>
        <w:br/>
      </w:r>
      <w:r>
        <w:rPr>
          <w:b w:val="0"/>
          <w:i w:val="0"/>
        </w:rPr>
        <w:br/>
      </w:r>
      <w:r>
        <w:rPr>
          <w:b w:val="0"/>
          <w:i/>
        </w:rPr>
        <w:br/>
      </w:r>
      <w:r>
        <w:rPr>
          <w:b w:val="0"/>
          <w:i/>
        </w:rPr>
        <w:t>Bắc Ninh, ngày 26 tháng 7 năm 2000</w:t>
      </w:r>
      <w:r>
        <w:rPr>
          <w:b w:val="0"/>
          <w:i/>
        </w:rPr>
        <w:br/>
      </w:r>
      <w:r>
        <w:rPr>
          <w:b w:val="0"/>
          <w:i w:val="0"/>
        </w:rPr>
        <w:br/>
      </w:r>
    </w:p>
    <w:p>
      <w:pPr>
        <w:jc w:val="center"/>
      </w:pPr>
      <w:r>
        <w:rPr>
          <w:b w:val="0"/>
          <w:i w:val="0"/>
        </w:rPr>
        <w:br/>
      </w:r>
      <w:r>
        <w:rPr>
          <w:b w:val="0"/>
          <w:i w:val="0"/>
        </w:rPr>
        <w:t>Số: 72/2000/QĐ-UB</w:t>
      </w:r>
      <w:r>
        <w:rPr>
          <w:b w:val="0"/>
          <w:i w:val="0"/>
        </w:rPr>
        <w:br/>
      </w:r>
    </w:p>
    <w:p>
      <w:pPr>
        <w:jc w:val="center"/>
      </w:pPr>
      <w:r>
        <w:rPr>
          <w:b w:val="0"/>
          <w:i w:val="0"/>
        </w:rPr>
        <w:br/>
      </w:r>
      <w:r>
        <w:rPr>
          <w:b w:val="0"/>
          <w:i w:val="0"/>
        </w:rPr>
        <w:t>Bắc Ninh, ngày 26 tháng 7 năm 2000</w:t>
      </w:r>
      <w:r>
        <w:rPr>
          <w:b w:val="0"/>
          <w:i w:val="0"/>
        </w:rPr>
        <w:br/>
      </w:r>
    </w:p>
    <w:p>
      <w:r>
        <w:rPr>
          <w:b/>
          <w:i w:val="0"/>
        </w:rPr>
        <w:t>QUYẾT ĐỊNH CỦA CHỦ TỊCH UỶ BAN NHÂN DÂN TỈNH BẮC NINH</w:t>
      </w:r>
    </w:p>
    <w:p>
      <w:pPr>
        <w:jc w:val="center"/>
      </w:pPr>
      <w:r>
        <w:rPr>
          <w:b/>
          <w:i w:val="0"/>
        </w:rPr>
        <w:t>ban hành điều lệ quản lý Khu công nghiệp Tiên Sơn-Bắc Ninh</w:t>
      </w:r>
    </w:p>
    <w:p>
      <w:r>
        <w:rPr>
          <w:b w:val="0"/>
          <w:i w:val="0"/>
        </w:rPr>
        <w:t xml:space="preserve"> </w:t>
      </w:r>
      <w:r>
        <w:rPr>
          <w:b/>
          <w:i w:val="0"/>
        </w:rPr>
        <w:t>UỶ BAN NHÂN DÂN TỈNH BẮC NINH</w:t>
      </w:r>
    </w:p>
    <w:p>
      <w:pPr>
        <w:jc w:val="both"/>
      </w:pPr>
      <w:r>
        <w:rPr>
          <w:b w:val="0"/>
          <w:i w:val="0"/>
        </w:rPr>
        <w:t xml:space="preserve">Căn cứ Luật Tổ chức Hội đồng nhân dân và Uỷ ban nhân dân ngày </w:t>
      </w:r>
      <w:r>
        <w:rPr>
          <w:b w:val="0"/>
          <w:i w:val="0"/>
        </w:rPr>
        <w:t>21/6/1994</w:t>
      </w:r>
      <w:r>
        <w:rPr>
          <w:b w:val="0"/>
          <w:i w:val="0"/>
        </w:rPr>
        <w:t>;</w:t>
      </w:r>
    </w:p>
    <w:p>
      <w:pPr>
        <w:jc w:val="both"/>
      </w:pPr>
      <w:r>
        <w:rPr>
          <w:b w:val="0"/>
          <w:i w:val="0"/>
        </w:rPr>
        <w:t xml:space="preserve">Căn cứ Quy chế Khu công nghiệp, Khu chế xuất, Khu công nghệ cao ban hành kèm theo Nghị định số 36/CP ngày </w:t>
      </w:r>
      <w:r>
        <w:rPr>
          <w:b w:val="0"/>
          <w:i w:val="0"/>
        </w:rPr>
        <w:t>24/4/1997</w:t>
      </w:r>
      <w:r>
        <w:rPr>
          <w:b w:val="0"/>
          <w:i w:val="0"/>
        </w:rPr>
        <w:t xml:space="preserve"> của Chính phủ;</w:t>
      </w:r>
    </w:p>
    <w:p>
      <w:pPr>
        <w:jc w:val="both"/>
      </w:pPr>
      <w:r>
        <w:rPr>
          <w:b w:val="0"/>
          <w:i w:val="0"/>
        </w:rPr>
        <w:t xml:space="preserve">Căn cứ vào Văn bản số 7902/BKH-KCN ngày </w:t>
      </w:r>
      <w:r>
        <w:rPr>
          <w:b w:val="0"/>
          <w:i w:val="0"/>
        </w:rPr>
        <w:t>8/12/1997</w:t>
      </w:r>
      <w:r>
        <w:rPr>
          <w:b w:val="0"/>
          <w:i w:val="0"/>
        </w:rPr>
        <w:t xml:space="preserve"> của Bộ Kế hoạch và Đầu tư về việc ban hành Điều lệ mẫu Khu công nghiệp;</w:t>
      </w:r>
    </w:p>
    <w:p>
      <w:pPr>
        <w:jc w:val="both"/>
      </w:pPr>
      <w:r>
        <w:rPr>
          <w:b w:val="0"/>
          <w:i w:val="0"/>
        </w:rPr>
        <w:t xml:space="preserve">Theo đề nghị của Trưởng ban Ban quản lý các khu công nghiệp Bắc Ninh tại tờ trình số: 55/TT-BQL ngày </w:t>
      </w:r>
      <w:r>
        <w:rPr>
          <w:b w:val="0"/>
          <w:i w:val="0"/>
        </w:rPr>
        <w:t>22/5/2000</w:t>
      </w:r>
      <w:r>
        <w:rPr>
          <w:b w:val="0"/>
          <w:i w:val="0"/>
        </w:rPr>
        <w:t xml:space="preserve"> về việc ban hành Điều lệ quản lý khu công nghiệp Tiên Sơn - Bắc Ninh,</w:t>
      </w:r>
    </w:p>
    <w:p>
      <w:r>
        <w:rPr>
          <w:b/>
          <w:i w:val="0"/>
        </w:rPr>
        <w:t>QUYẾT ĐỊNH:</w:t>
      </w:r>
    </w:p>
    <w:p>
      <w:r>
        <w:rPr>
          <w:b/>
          <w:i w:val="0"/>
        </w:rPr>
        <w:t xml:space="preserve">Điều 1. </w:t>
      </w:r>
      <w:r>
        <w:rPr>
          <w:b w:val="0"/>
          <w:i w:val="0"/>
        </w:rPr>
        <w:t>Phê chuẩn và ban hành kèm theo Quyết định này Điều lệ quản lý khu công nghiệp Tiên Sơn - Bắc Ninh.</w:t>
      </w:r>
    </w:p>
    <w:p>
      <w:r>
        <w:rPr>
          <w:b/>
          <w:i w:val="0"/>
        </w:rPr>
        <w:t xml:space="preserve">Điều 2. </w:t>
      </w:r>
      <w:r>
        <w:rPr>
          <w:b w:val="0"/>
          <w:i w:val="0"/>
        </w:rPr>
        <w:t>Quyết định này có hiệu lực thi hành sau 15 ngày kể từ ngày ký.</w:t>
      </w:r>
    </w:p>
    <w:p>
      <w:r>
        <w:rPr>
          <w:b/>
          <w:i w:val="0"/>
        </w:rPr>
        <w:t xml:space="preserve">Điều 3. </w:t>
      </w:r>
      <w:r>
        <w:rPr>
          <w:b w:val="0"/>
          <w:i w:val="0"/>
        </w:rPr>
        <w:t>Ban quản lý các Khu công nghiệp Bắc Ninh, Công ty Phát triển hạ tầng Khu công nghiệp Tiên Sơn thuộc Tổng Công ty Thuỷ tinh và Gốm xây dựng và các Doanh nghiệp trong Khu công nghiệp Tiên Sơn, Bắc Ninh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Văn Luật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Ngô Văn Luật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