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72/2012/NQ-HĐND Về đối tượng, mức thu, chế độ quản lý phí bảo vệ môi trường đối với nước thải sinh hoạt trên địa bàn tỉnh Nghệ An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HỘI ĐỒNG NHÂN DÂN</w:t>
            </w:r>
            <w:r>
              <w:br/>
            </w:r>
            <w:r>
              <w:rPr>
                <w:b/>
                <w:i w:val="0"/>
              </w:rPr>
              <w:t>TỈNH NGHỆ AN</w:t>
            </w:r>
          </w:p>
        </w:tc>
        <w:tc>
          <w:tcPr>
            <w:tcW w:type="dxa" w:w="4320"/>
          </w:tcPr>
          <w:p>
            <w:r>
              <w:rPr>
                <w:b w:val="0"/>
                <w:i w:val="0"/>
              </w:rPr>
              <w:br/>
            </w:r>
            <w:r>
              <w:rPr>
                <w:b/>
                <w:i w:val="0"/>
              </w:rPr>
              <w:br/>
              <w:t xml:space="preserve">       CỘNG HÒA XÃ HỘI CHỦ NGHĨA VIỆT NAM</w:t>
              <w:br/>
              <w:t xml:space="preserve">      </w:t>
            </w:r>
            <w:r>
              <w:rPr>
                <w:b w:val="0"/>
                <w:i w:val="0"/>
              </w:rPr>
              <w:br/>
            </w:r>
            <w:r>
              <w:rPr>
                <w:b/>
                <w:i w:val="0"/>
              </w:rPr>
              <w:br/>
              <w:t xml:space="preserve">       Độc lập – Tự do – Hạnh phúc</w:t>
              <w:br/>
              <w:t xml:space="preserve">      </w:t>
            </w:r>
          </w:p>
        </w:tc>
      </w:tr>
    </w:tbl>
    <w:p>
      <w:r>
        <w:rPr>
          <w:b/>
          <w:i w:val="0"/>
        </w:rPr>
        <w:t>NGHỊ QUYẾT</w:t>
      </w:r>
    </w:p>
    <w:p>
      <w:r>
        <w:rPr>
          <w:b/>
          <w:i w:val="0"/>
        </w:rPr>
        <w:t>Về đối tượng, mức thu, chế độ quản lý phí bảo vệ môi trường</w:t>
      </w:r>
    </w:p>
    <w:p>
      <w:r>
        <w:rPr>
          <w:b/>
          <w:i w:val="0"/>
        </w:rPr>
        <w:t>đối với nước thải sinh hoạt trên địa bàn tỉnh Nghệ An</w:t>
      </w:r>
    </w:p>
    <w:p>
      <w:r>
        <w:rPr>
          <w:b/>
          <w:i w:val="0"/>
        </w:rPr>
        <w:t>___________________</w:t>
      </w:r>
    </w:p>
    <w:p>
      <w:r>
        <w:rPr>
          <w:b/>
          <w:i w:val="0"/>
        </w:rPr>
        <w:t>HỘI ĐỒNG NHÂN DÂN TỈNH NGHỆ AN</w:t>
      </w:r>
    </w:p>
    <w:p>
      <w:r>
        <w:rPr>
          <w:b/>
          <w:i w:val="0"/>
        </w:rPr>
        <w:t>KHOÁ XVI, KỲ HỌP THỨ 6</w:t>
      </w:r>
    </w:p>
    <w:p>
      <w:r>
        <w:rPr>
          <w:b w:val="0"/>
          <w:i/>
        </w:rPr>
        <w:t>Căn cứ Luật Tổ chức Hội đồng nhân dân và Ủy ban nhân dân ngày 26 tháng 11 năm 2003;</w:t>
      </w:r>
    </w:p>
    <w:p>
      <w:r>
        <w:rPr>
          <w:b w:val="0"/>
          <w:i/>
        </w:rPr>
        <w:t xml:space="preserve">Căn cứ Pháp lệnh phí và lệ phí ngày 28 tháng 8 năm 2001; </w:t>
      </w:r>
    </w:p>
    <w:p>
      <w:r>
        <w:rPr>
          <w:b w:val="0"/>
          <w:i/>
        </w:rPr>
        <w:t>Căn cứ Nghị định số 57/2002/NĐ-CP ngày 03/6/2002 của Chính phủ quy định chi tiết thi hành Pháp lệnh phí, lệ phí và Nghị định số 24/2006/NĐ-CP ngày 13/3/2006 sửa đổi, bổ sung Nghị định số 57/2002/NĐ-CP;</w:t>
      </w:r>
    </w:p>
    <w:p>
      <w:r>
        <w:rPr>
          <w:b w:val="0"/>
          <w:i/>
        </w:rPr>
        <w:t>Căn cứ Nghị định số 67/2003/NĐ-CP ngày 13/6/2003 của Chính phủ về phí bảo vệ môi trường đối với nước thải; Nghị định số 04/2007/NĐ-CP ngày 08/01/2007 của Chính phủ về sửa đổi, bổ sung một số điều của Nghị định số 67/2003/NĐ-CP; Nghị định số 88/2007/NĐ-CP ngày 28/5/2007 của Chính phủ về thoát nước đô thị và khu công nghiệp và Nghị định số 26/2010/NĐ-CP ngày 22/3/2010 của Chính phủ sửa đổi, bổ sung khoản 2 Điều 8 Nghị định số 67/2003/NĐ-CP;</w:t>
      </w:r>
    </w:p>
    <w:p>
      <w:r>
        <w:rPr>
          <w:b w:val="0"/>
          <w:i/>
        </w:rPr>
        <w:t xml:space="preserve">Căn cứ các Thông tư liên tịch của Liên Bộ Tài chính-Bộ Tài nguyên Môi trường: số 125/2003/TTLT-BTC-BTNMT ngày 18/12/2003 hướng dẫn thực hiện Nghị định số 67/2003/NĐ-CP ngày 13/6/2003 của Chính phủ về phí bảo vệ môi trường đối với nước thải; số 106/2007/TTLT-BTC-BTNMT ngày 06/9/2007 sửa đổi, bổ sung Thông tư liên tịch số 125/2003/TTLT-BTC-BTNMT; số 107/2010/TTLT-BTC-BTNMT ngày 26/7/2010 sửa đổi bổ sung Thông tư liên tịch số 125/2003/TTLT-BTC-BTNMT &amp; Thông tư liên tịch số 106/2007/TTLT-BTC-BTNMT; </w:t>
      </w:r>
    </w:p>
    <w:p>
      <w:r>
        <w:rPr>
          <w:b w:val="0"/>
          <w:i/>
        </w:rPr>
        <w:t>Căn cứ Thông tư số 09/2009/TT-BXD ngày 21/5/2009 của Bộ Xây dựng về quy định chi tiết thực hiện một số nội dung của Nghị định số 88/2007/NĐ-CP ngày 28/5/2007 của Chính phủ về thoát nước đô thị và khu công nghiệp;</w:t>
      </w:r>
    </w:p>
    <w:p>
      <w:r>
        <w:rPr>
          <w:b w:val="0"/>
          <w:i/>
        </w:rPr>
        <w:t>Xét đề nghị của Ủy ban nhân dân tỉnh tại Tờ trình số 7704/TTr-UBND ngày 30 tháng 10 năm 2012;</w:t>
      </w:r>
    </w:p>
    <w:p>
      <w:r>
        <w:rPr>
          <w:b w:val="0"/>
          <w:i/>
        </w:rPr>
        <w:t>Trên cơ sở Báo cáo thẩm tra của Ban Kinh tế - Ngân sách và ý kiến của các Đại biểu Hội đồng nhân dân tỉnh,</w:t>
      </w:r>
    </w:p>
    <w:p>
      <w:r>
        <w:rPr>
          <w:b/>
          <w:i w:val="0"/>
        </w:rPr>
        <w:t>QUYẾT NGHỊ:</w:t>
      </w:r>
    </w:p>
    <w:p>
      <w:r>
        <w:rPr>
          <w:b/>
          <w:i w:val="0"/>
        </w:rPr>
        <w:t>Điều 1. Đối tượng nộp phí bảo vệ môi trường đối với nước thải sinh hoạt</w:t>
      </w:r>
    </w:p>
    <w:p>
      <w:r>
        <w:rPr>
          <w:b w:val="0"/>
          <w:i w:val="0"/>
        </w:rPr>
        <w:t>1. Đối tượng nộp phí bảo vệ môi trường đối với nước thải sinh hoạt là cá nhân, hộ gia đình, tổ chức có nước thải được thải ra môi trường từ:</w:t>
      </w:r>
    </w:p>
    <w:p>
      <w:r>
        <w:rPr>
          <w:b w:val="0"/>
          <w:i w:val="0"/>
        </w:rPr>
        <w:t>a) Hộ gia đình;</w:t>
      </w:r>
    </w:p>
    <w:p>
      <w:r>
        <w:rPr>
          <w:b w:val="0"/>
          <w:i w:val="0"/>
        </w:rPr>
        <w:t>b) Cơ quan nhà nước;</w:t>
      </w:r>
    </w:p>
    <w:p>
      <w:r>
        <w:rPr>
          <w:b w:val="0"/>
          <w:i w:val="0"/>
        </w:rPr>
        <w:t>c) Đơn vị vũ trang nhân dân;</w:t>
      </w:r>
    </w:p>
    <w:p>
      <w:r>
        <w:rPr>
          <w:b w:val="0"/>
          <w:i w:val="0"/>
        </w:rPr>
        <w:t>d) Trụ sở điều hành, chi nhánh, văn phòng của các tổ chức, cá nhân;</w:t>
      </w:r>
    </w:p>
    <w:p>
      <w:r>
        <w:rPr>
          <w:b w:val="0"/>
          <w:i w:val="0"/>
        </w:rPr>
        <w:t>đ) Các cơ sở rửa ô tô, xe máy;</w:t>
      </w:r>
    </w:p>
    <w:p>
      <w:r>
        <w:rPr>
          <w:b w:val="0"/>
          <w:i w:val="0"/>
        </w:rPr>
        <w:t>e) Bệnh viện; phòng khám chữa bệnh; nhà hàng, khách sạn; cơ sở sản xuất, kinh doanh, dịch vụ khác;</w:t>
      </w:r>
    </w:p>
    <w:p>
      <w:r>
        <w:rPr>
          <w:b w:val="0"/>
          <w:i w:val="0"/>
        </w:rPr>
        <w:t>g) Các đối tượng khác có nước thải sinh hoạt ngoài các đối tượng nêu trên.</w:t>
      </w:r>
    </w:p>
    <w:p>
      <w:r>
        <w:rPr>
          <w:b w:val="0"/>
          <w:i w:val="0"/>
        </w:rPr>
        <w:t>2. Đối tượng không phải nộp phí bảo vệ môi trường đối với nước thải sinh hoạt là cá nhân, hộ gia đình, tổ chức có nước thải được thải ra môi trường từ:</w:t>
      </w:r>
    </w:p>
    <w:p>
      <w:r>
        <w:rPr>
          <w:b w:val="0"/>
          <w:i w:val="0"/>
        </w:rPr>
        <w:t>a) Nước xả ra từ các nhà máy thuỷ điện, nước tuần hoàn trong các nhà máy, cơ sở sản xuất, kinh doanh;</w:t>
      </w:r>
    </w:p>
    <w:p>
      <w:r>
        <w:rPr>
          <w:b w:val="0"/>
          <w:i w:val="0"/>
        </w:rPr>
        <w:t>b) Nước biển dùng vào sản xuất muối xả ra;</w:t>
      </w:r>
    </w:p>
    <w:p>
      <w:r>
        <w:rPr>
          <w:b w:val="0"/>
          <w:i w:val="0"/>
        </w:rPr>
        <w:t>c) Nước thải sinh hoạt của hộ gia đình ở địa bàn đang được Nhà nước thực hiện chế độ bù giá để có giá nước phù hợp với đời sống kinh tế - xã hội;</w:t>
      </w:r>
    </w:p>
    <w:p>
      <w:r>
        <w:rPr>
          <w:b w:val="0"/>
          <w:i w:val="0"/>
        </w:rPr>
        <w:t>d) Nước thải sinh hoạt của hộ gia đình ở những nơi chưa có hệ thống cấp nước sạch;</w:t>
      </w:r>
    </w:p>
    <w:p>
      <w:r>
        <w:rPr>
          <w:b w:val="0"/>
          <w:i w:val="0"/>
        </w:rPr>
        <w:t>đ) Nước thải sinh hoạt của hộ gia đình ở các xã thuộc vùng nông thôn, bao gồm:</w:t>
      </w:r>
    </w:p>
    <w:p>
      <w:r>
        <w:rPr>
          <w:b w:val="0"/>
          <w:i w:val="0"/>
        </w:rPr>
        <w:t>- Các xã thuộc biên giới, miền núi, vùng cao, vùng sâu, vùng xa (theo quy định của Chính phủ về xã biên giới, miền núi, vùng sâu, vùng xa);</w:t>
      </w:r>
    </w:p>
    <w:p>
      <w:r>
        <w:rPr>
          <w:b w:val="0"/>
          <w:i w:val="0"/>
        </w:rPr>
        <w:t>- Các xã không thuộc đô thị đặc biệt, đô thị loại I, II, III, IV và V theo quy định tại Nghị định số 72/2001/NĐ-CP ngày 05 tháng 10 năm 2001 của Chính phủ về phân loại đô thị và cấp quản lý đô thị.</w:t>
      </w:r>
    </w:p>
    <w:p>
      <w:r>
        <w:rPr>
          <w:b/>
          <w:i w:val="0"/>
        </w:rPr>
        <w:t>Điều 3. Đơn giá và mức thu</w:t>
      </w:r>
    </w:p>
    <w:p>
      <w:r>
        <w:rPr>
          <w:b w:val="0"/>
          <w:i w:val="0"/>
        </w:rPr>
        <w:t>1. Địa bàn thành phố Vinh, thị xã Cửa Lò, thị xã Thái Hoà:</w:t>
      </w:r>
    </w:p>
    <w:p>
      <w:r>
        <w:rPr>
          <w:b w:val="0"/>
          <w:i w:val="0"/>
        </w:rPr>
        <w:t>a) Đơn giá thu phí bảo vệ môi trường đối với nước thải sinh hoạt được xác định bằng 10% (x) giá bán của 1m3 nước sạch chưa bao gồm thuế giá trị gia tăng;</w:t>
      </w:r>
    </w:p>
    <w:p>
      <w:r>
        <w:rPr>
          <w:b w:val="0"/>
          <w:i w:val="0"/>
        </w:rPr>
        <w:t>b) Mức thu được tính bằng đơn giá nước thải sinh hoạt (x) tổng lượng nước tiêu thụ.</w:t>
      </w:r>
    </w:p>
    <w:p>
      <w:r>
        <w:rPr>
          <w:b w:val="0"/>
          <w:i w:val="0"/>
        </w:rPr>
        <w:t>2. Địa bàn các huyện còn lại:</w:t>
      </w:r>
    </w:p>
    <w:p>
      <w:r>
        <w:rPr>
          <w:b w:val="0"/>
          <w:i w:val="0"/>
        </w:rPr>
        <w:t>a) Đơn giá thu phí bảo vệ môi trường đối với nước thải sinh hoạt được xác định bằng 8% (x) giá bán của 1m3 nước sạch chưa bao gồm thuế giá trị gia tăng;</w:t>
      </w:r>
    </w:p>
    <w:p>
      <w:r>
        <w:rPr>
          <w:b w:val="0"/>
          <w:i w:val="0"/>
        </w:rPr>
        <w:t>b) Mức thu được tính bằng đơn giá nước thải sinh hoạt (x) tổng lượng nước tiêu thụ.</w:t>
      </w:r>
    </w:p>
    <w:p>
      <w:r>
        <w:rPr>
          <w:b/>
          <w:i w:val="0"/>
        </w:rPr>
        <w:t>Điều 3. Chế độ quản lý phí bảo vệ môi trường đối với nước thải sinh hoạt</w:t>
      </w:r>
    </w:p>
    <w:p>
      <w:r>
        <w:rPr>
          <w:b w:val="0"/>
          <w:i w:val="0"/>
        </w:rPr>
        <w:t>1. Công ty TNHH một thành viên cấp nước Nghệ An, các cơ sở cung cấp nước sạch khác sử dụng hóa đơn bán hàng của đơn vị mình để tổ chức thu phí đối với tổ chức, hộ gia đình, cá nhân, cơ sở sản xuất kinh doanh dịch vụ có sử dụng nước sạch của đơn vị. Công ty TNHH một thành viên cấp nước Nghệ An, các đơn vị cung cấp nước sạch khác được để lại 10% số phí thu được để phục vụ cho hoạt động thu phí, 90% số phí còn lại nộp ngân sách Nhà nước.</w:t>
      </w:r>
    </w:p>
    <w:p>
      <w:r>
        <w:rPr>
          <w:b w:val="0"/>
          <w:i w:val="0"/>
        </w:rPr>
        <w:t>2. Ủy ban nhân dân các xã, phường, thị trấn sử dụng biên lai thu phí do cơ quan thuế phát hành để tổ chức thu phí đối với các tổ chức, hộ gia đình, cá nhân, cơ sở sản xuất kinh doanh dịch vụ có sử dụng nước tự khai thác. Ủy ban nhân dân các xã, phường, thị trấn được để lại 15% số phí thu được để phục vụ cho hoạt động thu phí; 85% số phí còn lại nộp ngân sách Nhà nước.</w:t>
      </w:r>
    </w:p>
    <w:p>
      <w:r>
        <w:rPr>
          <w:b/>
          <w:i w:val="0"/>
        </w:rPr>
        <w:t>Điều 4. Tổ chức thực hiện</w:t>
      </w:r>
    </w:p>
    <w:p>
      <w:r>
        <w:rPr>
          <w:b w:val="0"/>
          <w:i w:val="0"/>
        </w:rPr>
        <w:t>Giao Uỷ ban nhân dân tỉnh tổ chức triển khai thực hiện Nghị quyết này.</w:t>
      </w:r>
    </w:p>
    <w:p>
      <w:r>
        <w:rPr>
          <w:b/>
          <w:i w:val="0"/>
        </w:rPr>
        <w:t>Điều 5. Hiệu lực thi hành</w:t>
      </w:r>
    </w:p>
    <w:p>
      <w:r>
        <w:rPr>
          <w:b w:val="0"/>
          <w:i w:val="0"/>
        </w:rPr>
        <w:t>Nghị quyết này đã được Hội đồng nhân dân tỉnh khoá XVI, kỳ họp thứ 6 thông qua ngày 13 tháng 12 năm 2012 và có hiệu lực thi hành sau 10 ngày kể từ ngày được thông qua. Bãi bỏ quy định về mức thu, chế độ quản lý phí bảo vệ môi trường đối với nước thải sinh hoạt trên địa bàn tỉnh tại khoản 6 Điều 1 Nghị quyết số 144/2003/HĐND-XIV ngày 12/12/2003 của Hội đồng nhân dân tỉnh về mức thu và quản lý một số phí, lệ phí thuộc thẩm quyền của Hội đồng nhân dân tỉnh./.</w:t>
      </w:r>
    </w:p>
    <w:p>
      <w:r>
        <w:rPr>
          <w:b w:val="0"/>
          <w:i w:val="0"/>
        </w:rPr>
        <w:br/>
      </w:r>
      <w:r>
        <w:rPr>
          <w:b w:val="0"/>
          <w:i w:val="0"/>
        </w:rPr>
        <w:br/>
      </w:r>
      <w:r>
        <w:rPr>
          <w:b/>
          <w:i w:val="0"/>
        </w:rPr>
        <w:br/>
      </w:r>
      <w:r>
        <w:rPr>
          <w:b/>
          <w:i w:val="0"/>
        </w:rPr>
        <w:br/>
        <w:t xml:space="preserve">      tm. hội đồng nhân dân tỉnh</w:t>
        <w:br/>
        <w:t xml:space="preserve">     </w:t>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r>
      <w:r>
        <w:rPr>
          <w:b/>
          <w:i w:val="0"/>
        </w:rPr>
        <w:br/>
        <w:t xml:space="preserve">      Trần Hồng Châu</w:t>
        <w:br/>
        <w:t xml:space="preserve">     </w:t>
      </w:r>
      <w:r>
        <w:rPr>
          <w:b/>
          <w:i w:val="0"/>
        </w:rPr>
        <w:br/>
      </w:r>
      <w:r>
        <w:rPr>
          <w:b w:val="0"/>
          <w:i w:val="0"/>
        </w:rPr>
        <w:br/>
      </w:r>
      <w:r>
        <w:rPr>
          <w:b w:val="0"/>
          <w:i w:val="0"/>
        </w:rPr>
        <w:br/>
      </w:r>
    </w:p>
    <w:p>
      <w:r>
        <w:rPr>
          <w:b w:val="0"/>
          <w:i w:val="0"/>
        </w:rPr>
        <w:br/>
      </w:r>
      <w:r>
        <w:rPr>
          <w:b/>
          <w:i w:val="0"/>
        </w:rPr>
        <w:br/>
      </w:r>
      <w:r>
        <w:rPr>
          <w:b/>
          <w:i w:val="0"/>
        </w:rPr>
        <w:br/>
        <w:t xml:space="preserve">      tm. hội đồng nhân dân tỉnh</w:t>
        <w:br/>
        <w:t xml:space="preserve">     </w:t>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r>
      <w:r>
        <w:rPr>
          <w:b/>
          <w:i w:val="0"/>
        </w:rPr>
        <w:br/>
        <w:t xml:space="preserve">      Trần Hồng Châu</w:t>
        <w:br/>
        <w:t xml:space="preserve">     </w:t>
      </w:r>
      <w:r>
        <w:rPr>
          <w:b/>
          <w:i w:val="0"/>
        </w:rPr>
        <w:br/>
      </w:r>
      <w:r>
        <w:rPr>
          <w:b w:val="0"/>
          <w:i w:val="0"/>
        </w:rPr>
        <w:br/>
      </w:r>
    </w:p>
    <w:p>
      <w:pPr>
        <w:jc w:val="center"/>
      </w:pPr>
      <w:r>
        <w:rPr>
          <w:b w:val="0"/>
          <w:i w:val="0"/>
        </w:rPr>
        <w:br/>
      </w:r>
      <w:r>
        <w:rPr>
          <w:b/>
          <w:i w:val="0"/>
        </w:rPr>
        <w:br/>
        <w:t xml:space="preserve">      tm. hội đồng nhân dân tỉnh</w:t>
        <w:br/>
        <w:t xml:space="preserve">     </w:t>
      </w: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val="0"/>
          <w:i w:val="0"/>
        </w:rPr>
        <w:br/>
      </w:r>
      <w:r>
        <w:rPr>
          <w:b/>
          <w:i w:val="0"/>
        </w:rPr>
        <w:br/>
        <w:t xml:space="preserve">      Trần Hồng Châu</w:t>
        <w:br/>
        <w:t xml:space="preserve">     </w:t>
      </w:r>
      <w:r>
        <w:rPr>
          <w:b w:val="0"/>
          <w:i w:val="0"/>
        </w:rPr>
        <w:br/>
      </w:r>
    </w:p>
    <w:p>
      <w:r>
        <w:rPr>
          <w:b w:val="0"/>
          <w:i w:val="0"/>
        </w:rPr>
        <w:br/>
        <w:t xml:space="preserve">      tm. hội đồng nhân dân tỉnh</w:t>
        <w:br/>
        <w:t xml:space="preserve">     </w:t>
      </w:r>
    </w:p>
    <w:p>
      <w:r>
        <w:rPr>
          <w:b w:val="0"/>
          <w:i w:val="0"/>
        </w:rPr>
        <w:br/>
        <w:t xml:space="preserve">      CHỦ TỊCH</w:t>
        <w:br/>
        <w:t xml:space="preserve">     </w:t>
      </w:r>
    </w:p>
    <w:p>
      <w:r>
        <w:rPr>
          <w:b w:val="0"/>
          <w:i w:val="0"/>
        </w:rPr>
        <w:br/>
        <w:t xml:space="preserve">      (Đã ký)</w:t>
        <w:br/>
        <w:t xml:space="preserve">     </w:t>
      </w:r>
    </w:p>
    <w:p>
      <w:r>
        <w:rPr>
          <w:b w:val="0"/>
          <w:i w:val="0"/>
        </w:rPr>
        <w:br/>
        <w:t xml:space="preserve">      Trần Hồng Châu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