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77/2005/QĐ-TTg Về việc điều chỉnh Phương án sắp xếp, đổi mới đối với một số công ty nhà nước thuộc Uỷ ban nhân dân tỉnh Thái Nguyên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77/2005/QĐ-TTg</w:t>
      </w:r>
      <w:r>
        <w:rPr>
          <w:b w:val="0"/>
          <w:i w:val="0"/>
        </w:rPr>
        <w:br/>
      </w:r>
      <w:r>
        <w:rPr>
          <w:b w:val="0"/>
          <w:i w:val="0"/>
        </w:rPr>
        <w:br/>
      </w:r>
      <w:r>
        <w:rPr>
          <w:b w:val="0"/>
          <w:i/>
        </w:rPr>
        <w:br/>
      </w:r>
      <w:r>
        <w:rPr>
          <w:b w:val="0"/>
          <w:i/>
        </w:rPr>
        <w:t>Hà Nội, ngày 13 tháng 4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77/2005/QĐ-TTg</w:t>
      </w:r>
      <w:r>
        <w:rPr>
          <w:b w:val="0"/>
          <w:i w:val="0"/>
        </w:rPr>
        <w:br/>
      </w:r>
      <w:r>
        <w:rPr>
          <w:b w:val="0"/>
          <w:i w:val="0"/>
        </w:rPr>
        <w:br/>
      </w:r>
      <w:r>
        <w:rPr>
          <w:b w:val="0"/>
          <w:i/>
        </w:rPr>
        <w:br/>
      </w:r>
      <w:r>
        <w:rPr>
          <w:b w:val="0"/>
          <w:i/>
        </w:rPr>
        <w:t>Hà Nội, ngày 13 tháng 4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77/2005/QĐ-TTg</w:t>
      </w:r>
      <w:r>
        <w:rPr>
          <w:b w:val="0"/>
          <w:i w:val="0"/>
        </w:rPr>
        <w:br/>
      </w:r>
      <w:r>
        <w:rPr>
          <w:b w:val="0"/>
          <w:i w:val="0"/>
        </w:rPr>
        <w:br/>
      </w:r>
      <w:r>
        <w:rPr>
          <w:b w:val="0"/>
          <w:i/>
        </w:rPr>
        <w:br/>
      </w:r>
      <w:r>
        <w:rPr>
          <w:b w:val="0"/>
          <w:i/>
        </w:rPr>
        <w:t>Hà Nội, ngày 13 tháng 4 năm 2005</w:t>
      </w:r>
      <w:r>
        <w:rPr>
          <w:b w:val="0"/>
          <w:i/>
        </w:rPr>
        <w:br/>
      </w:r>
      <w:r>
        <w:rPr>
          <w:b w:val="0"/>
          <w:i w:val="0"/>
        </w:rPr>
        <w:br/>
      </w:r>
    </w:p>
    <w:p>
      <w:pPr>
        <w:jc w:val="center"/>
      </w:pPr>
      <w:r>
        <w:rPr>
          <w:b w:val="0"/>
          <w:i w:val="0"/>
        </w:rPr>
        <w:br/>
      </w:r>
      <w:r>
        <w:rPr>
          <w:b w:val="0"/>
          <w:i w:val="0"/>
        </w:rPr>
        <w:t>Số: 77/2005/QĐ-TTg</w:t>
      </w:r>
      <w:r>
        <w:rPr>
          <w:b w:val="0"/>
          <w:i w:val="0"/>
        </w:rPr>
        <w:br/>
      </w:r>
    </w:p>
    <w:p>
      <w:pPr>
        <w:jc w:val="center"/>
      </w:pPr>
      <w:r>
        <w:rPr>
          <w:b w:val="0"/>
          <w:i w:val="0"/>
        </w:rPr>
        <w:br/>
      </w:r>
      <w:r>
        <w:rPr>
          <w:b w:val="0"/>
          <w:i w:val="0"/>
        </w:rPr>
        <w:t>Hà Nội, ngày 13 tháng 4 năm 2005</w:t>
      </w:r>
      <w:r>
        <w:rPr>
          <w:b w:val="0"/>
          <w:i w:val="0"/>
        </w:rPr>
        <w:br/>
      </w:r>
    </w:p>
    <w:p>
      <w:r>
        <w:rPr>
          <w:b/>
          <w:i w:val="0"/>
        </w:rPr>
        <w:t>QUYẾT ĐỊNH</w:t>
      </w:r>
    </w:p>
    <w:p>
      <w:r>
        <w:rPr>
          <w:b/>
          <w:i w:val="0"/>
        </w:rPr>
        <w:t>Về việc điều chỉnh Phương án sắp xếp, đổi mới đối với một số công ty nhà nước</w:t>
      </w:r>
    </w:p>
    <w:p>
      <w:r>
        <w:rPr>
          <w:b/>
          <w:i w:val="0"/>
        </w:rPr>
        <w:t>thuộc Uỷ ban nhân dân tỉnh Thái Nguyên</w:t>
      </w:r>
    </w:p>
    <w:p>
      <w:r>
        <w:rPr>
          <w:b/>
          <w:i w:val="0"/>
        </w:rPr>
        <w:t>THỦ TƯỚNG CHÍNH PHỦ</w:t>
      </w:r>
    </w:p>
    <w:p>
      <w:r>
        <w:rPr>
          <w:b w:val="0"/>
          <w:i/>
        </w:rPr>
        <w:t>Căn cứ Luật Tổ chức Chính phủ ngày 25 tháng 12 năm 2001;</w:t>
      </w:r>
    </w:p>
    <w:p>
      <w:r>
        <w:rPr>
          <w:b w:val="0"/>
          <w:i/>
        </w:rPr>
        <w:t>Căn cứ Quyết định số 155/2004/QĐ-TTg ngày 24 tháng 08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Thái Nguyên (Công văn số 112/CV-UB ngày 07 tháng 02 năm 2005),</w:t>
      </w:r>
    </w:p>
    <w:p>
      <w:r>
        <w:rPr>
          <w:b/>
          <w:i w:val="0"/>
        </w:rPr>
        <w:t>QUYẾT ĐỊNH:</w:t>
      </w:r>
    </w:p>
    <w:p>
      <w:r>
        <w:rPr>
          <w:b/>
          <w:i w:val="0"/>
        </w:rPr>
        <w:t xml:space="preserve">Điều 1. </w:t>
      </w:r>
      <w:r>
        <w:rPr>
          <w:b w:val="0"/>
          <w:i w:val="0"/>
        </w:rPr>
        <w:t>Điều chỉnh Phương án sắp xếp, đổi mới đối với một số công ty nhà nước thuộc Uỷ ban nhân dân tỉnh Thái Nguyên như Phụ lục kèm theo.</w:t>
      </w:r>
    </w:p>
    <w:p>
      <w:r>
        <w:rPr>
          <w:b/>
          <w:i w:val="0"/>
        </w:rPr>
        <w:t xml:space="preserve">Điều 2. </w:t>
      </w:r>
      <w:r>
        <w:rPr>
          <w:b w:val="0"/>
          <w:i w:val="0"/>
        </w:rPr>
        <w:t>Chủ tịch Uỷ ban nhân dân tỉnh Thái Nguyên:</w:t>
      </w:r>
    </w:p>
    <w:p>
      <w:r>
        <w:rPr>
          <w:b w:val="0"/>
          <w:i w:val="0"/>
        </w:rPr>
        <w:t>1. Chỉ đạo thực hiện việc sắp xếp, đổi mới công ty nhà nước trực thuộc theo đúng nội dung và tiến độ đã được duyệt.</w:t>
      </w:r>
    </w:p>
    <w:p>
      <w:r>
        <w:rPr>
          <w:b w:val="0"/>
          <w:i w:val="0"/>
        </w:rPr>
        <w:t>Đối với những công ty kinh doanh thua lỗ không cổ phần hoá được thì chủ động chuyển sang một trong các hình thức: bán đấu giá, giải thể, phá sản và báo cáo Thủ tướng Chính phủ.</w:t>
      </w:r>
    </w:p>
    <w:p>
      <w:r>
        <w:rPr>
          <w:b w:val="0"/>
          <w:i w:val="0"/>
        </w:rPr>
        <w:t>2. Xây dựng Đề án sắp xếp, đổi mới và phát triển nông, lâm trường theo Nghị định số 170/2004/NĐ-CP ngày 22 tháng 09 năm 2004 của Chính phủ về sắp xếp, đổi mới và phát triển nông trường quốc doanh; Nghị định số 200/2004/NĐ-CP ngày 03 tháng 12 năm 2004 của Chính phủ về sắp xếp, đổi mới và phát triển lâm trường quốc doanh.</w:t>
      </w:r>
    </w:p>
    <w:p>
      <w:r>
        <w:rPr>
          <w:b/>
          <w:i w:val="0"/>
        </w:rPr>
        <w:t>Điều 3.</w:t>
      </w:r>
      <w:r>
        <w:rPr>
          <w:b w:val="0"/>
          <w:i w:val="0"/>
        </w:rPr>
        <w:t xml:space="preserve"> Các Bộ: Tài chính, Kế hoạch và Đầu tư, Lao động - Thương binh và Xã hội, Nội vụ và các cơ quan liên quan có trách nhiệm phối hợp với Uỷ ban nhân dân tỉnh Thái Nguyên thực hiện phương án này.</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Thái Nguyên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