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78/2024/TT-BTC Bãi bỏ một số Thông tư trong lĩnh vực tài chính ngân hàng</w:t>
        <w:br/>
        <w:t>do Bộ trưởng Bộ Tài chính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______________</w:t>
      </w:r>
      <w:r>
        <w:rPr>
          <w:b w:val="0"/>
          <w:i w:val="0"/>
        </w:rPr>
        <w:br/>
      </w:r>
      <w:r>
        <w:rPr>
          <w:b w:val="0"/>
          <w:i w:val="0"/>
        </w:rPr>
        <w:br/>
      </w:r>
      <w:r>
        <w:rPr>
          <w:b w:val="0"/>
          <w:i w:val="0"/>
        </w:rPr>
        <w:t>Số: 78/2024/TT-BTC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Hà Nội, ngày 8 tháng 11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______________</w:t>
      </w:r>
      <w:r>
        <w:rPr>
          <w:b w:val="0"/>
          <w:i w:val="0"/>
        </w:rPr>
        <w:br/>
      </w:r>
      <w:r>
        <w:rPr>
          <w:b w:val="0"/>
          <w:i w:val="0"/>
        </w:rPr>
        <w:br/>
      </w:r>
      <w:r>
        <w:rPr>
          <w:b w:val="0"/>
          <w:i w:val="0"/>
        </w:rPr>
        <w:t>Số: 78/2024/TT-BTC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Hà Nội, ngày 8 tháng 11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______________</w:t>
            </w:r>
            <w:r>
              <w:rPr>
                <w:b w:val="0"/>
                <w:i w:val="0"/>
              </w:rPr>
              <w:br/>
            </w:r>
            <w:r>
              <w:rPr>
                <w:b w:val="0"/>
                <w:i w:val="0"/>
              </w:rPr>
              <w:br/>
            </w:r>
            <w:r>
              <w:rPr>
                <w:b w:val="0"/>
                <w:i w:val="0"/>
              </w:rPr>
              <w:t>Số: 78/2024/TT-BTC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Hà Nội, ngày 8 tháng 11 năm 2024</w:t>
            </w:r>
          </w:p>
        </w:tc>
      </w:tr>
    </w:tbl>
    <w:p>
      <w:pPr>
        <w:jc w:val="center"/>
      </w:pPr>
      <w:r>
        <w:rPr>
          <w:b/>
          <w:i w:val="0"/>
        </w:rPr>
        <w:t>THÔNG TƯ</w:t>
      </w:r>
      <w:r>
        <w:br/>
      </w:r>
      <w:r>
        <w:rPr>
          <w:b/>
          <w:i w:val="0"/>
        </w:rPr>
        <w:br/>
        <w:t xml:space="preserve">     Bãi bỏ một số Thông tư trong lĩnh vực tài chính ngân hàng do Bộ trưởng Bộ Tài chính ban hành</w:t>
      </w:r>
    </w:p>
    <w:p>
      <w:pPr>
        <w:jc w:val="center"/>
      </w:pPr>
      <w:r>
        <w:rPr>
          <w:b/>
          <w:i w:val="0"/>
        </w:rPr>
        <w:t>____________________________</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14/2023/NĐ-CP ngày 20 tháng 4 năm 2023 của Chính phủ quy định chức năng, nhiệm vụ, quyền hạn và cơ cấu tổ chức của Bộ Tài chính;Căn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25/05/2024 của Chính phủ sửa đổi, bổ sung một số điều của Nghị định số Nghị định số 34/2016/NĐ-CP ngày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Theo đề nghị của Vụ trưởng Vụ Tài chính các ngân hàng và tổ chức tài chính;</w:t>
      </w:r>
    </w:p>
    <w:p>
      <w:r>
        <w:rPr>
          <w:b w:val="0"/>
          <w:i/>
        </w:rPr>
        <w:t>Bộ trưởng Bộ Tài chính ban hành Thông tư bãi bỏ các Thông tư trong lĩnh vực tài chính ngân hàng do Bộ trưởng Bộ Tài chính ban hành.</w:t>
      </w:r>
    </w:p>
    <w:p>
      <w:r>
        <w:rPr>
          <w:b/>
          <w:i w:val="0"/>
        </w:rPr>
        <w:t>Điều 1. Bãi bỏ toàn bộ các Thông tư trong lĩnh vực tài chính ngân hàng do Bộ trưởng Bộ Tài chính ban hành bao gồm:</w:t>
      </w:r>
    </w:p>
    <w:p>
      <w:r>
        <w:rPr>
          <w:b w:val="0"/>
          <w:i w:val="0"/>
        </w:rPr>
        <w:t>1. Thông tư số 120/2016/TT-BTC ngày 14 tháng 7 năm 2016 của Bộ Tài chính về Điều lệ tổ chức và hoạt động của công ty trách nhiệm hữu hạn một thành viên xổ số điện toán Việt Nam.</w:t>
      </w:r>
    </w:p>
    <w:p>
      <w:r>
        <w:rPr>
          <w:b w:val="0"/>
          <w:i w:val="0"/>
        </w:rPr>
        <w:t>2. Thông tư số 188/2013/TT-BTC ngày 09 tháng 12 năm 2013 của Bộ Tài chính hướng dẫn chế độ quản lý tài chính và đánh giá hiệu quả hoạt động đối với Sở Giao dịch Chứng khoán, Trung tâm Lưu ký Chứng khoán.</w:t>
      </w:r>
    </w:p>
    <w:p>
      <w:r>
        <w:rPr>
          <w:b w:val="0"/>
          <w:i w:val="0"/>
        </w:rPr>
        <w:t>3. Thông tư số 127/2012/TT-BTC ngày 08 tháng 8 năm 2012 của Bộ Tài chính hướng dẫn về tiêu chuẩn, điều kiện và quy trình thủ tục công nhận tổ chức cung cấp dịch vụ xác định giá trị doanh nghiệp.</w:t>
      </w:r>
    </w:p>
    <w:p>
      <w:r>
        <w:rPr>
          <w:b w:val="0"/>
          <w:i w:val="0"/>
        </w:rPr>
        <w:t>4. Thông tư số 205/2014/TT-BTC ngày 24 tháng 12 năm 2014 của Bộ Tài chính sửa đổi, bổ sung một số điều của Thông tư số 127/2012/TT-BTC ngày 08 tháng 8 năm 2012 của Bộ Tài chính hướng dẫn về tiêu chuẩn, điều kiện và quy trình thủ tục công nhận tổ chức cung cấp dịch vụ xác định giá trị doanh nghiệp.</w:t>
      </w:r>
    </w:p>
    <w:p>
      <w:r>
        <w:rPr>
          <w:b w:val="0"/>
          <w:i w:val="0"/>
        </w:rPr>
        <w:t>5. Thông tư số 76/2015/TT-BTC ngày 19 tháng 05 năm 2015 của Bộ Tài chính quy định lãi suất cho vay tín dụng đầu tư, tín dụng xuất khẩu của Nhà nước và mức chênh lệch lãi suất được tính hỗ trợ sau đầu tư.</w:t>
      </w:r>
    </w:p>
    <w:p>
      <w:r>
        <w:rPr>
          <w:b/>
          <w:i w:val="0"/>
        </w:rPr>
        <w:t>Điều 2. Điều khoản thi hành</w:t>
      </w:r>
    </w:p>
    <w:p>
      <w:r>
        <w:rPr>
          <w:b w:val="0"/>
          <w:i w:val="0"/>
        </w:rPr>
        <w:t>1. Thông tư này có hiệu lực thi hành kể từ ngày 12 tháng 12 năm 2024</w:t>
      </w:r>
    </w:p>
    <w:p>
      <w:r>
        <w:rPr>
          <w:b w:val="0"/>
          <w:i w:val="0"/>
        </w:rPr>
        <w:t>2. Chánh Văn phòng Bộ Tài chính, Vụ trưởng Vụ Tài chính các ngân hàng và tổ chức tài chính, Thủ trưởng các đơn vị liên quan thuộc Bộ Tài chính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Thủ tướng Chính phủ, các Phó TTCP;</w:t>
            </w:r>
            <w:r>
              <w:rPr>
                <w:b w:val="0"/>
                <w:i w:val="0"/>
              </w:rPr>
              <w:br/>
            </w:r>
            <w:r>
              <w:rPr>
                <w:b w:val="0"/>
                <w:i w:val="0"/>
              </w:rPr>
              <w:t>- Văn phòng Trung ương &amp;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Hội đồng dân tộc;</w:t>
            </w:r>
            <w:r>
              <w:rPr>
                <w:b w:val="0"/>
                <w:i w:val="0"/>
              </w:rPr>
              <w:br/>
            </w:r>
            <w:r>
              <w:rPr>
                <w:b w:val="0"/>
                <w:i w:val="0"/>
              </w:rPr>
              <w:t>- Các Bộ, cơ quan ngang Bộ, cơ quan thuộc Chính phủ;</w:t>
            </w:r>
            <w:r>
              <w:rPr>
                <w:b w:val="0"/>
                <w:i w:val="0"/>
              </w:rPr>
              <w:br/>
            </w:r>
            <w:r>
              <w:rPr>
                <w:b w:val="0"/>
                <w:i w:val="0"/>
              </w:rPr>
              <w:t>- HĐND, UBND các tỉnh, TP trực thuộc Trung ương;</w:t>
            </w:r>
            <w:r>
              <w:rPr>
                <w:b w:val="0"/>
                <w:i w:val="0"/>
              </w:rPr>
              <w:br/>
            </w:r>
            <w:r>
              <w:rPr>
                <w:b w:val="0"/>
                <w:i w:val="0"/>
              </w:rPr>
              <w:t>- Sở Tài chính, Cục Thuế các tỉnh, TP trực thuộc Trung ương;</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và trực thuộc Bộ Tài chính;</w:t>
            </w:r>
            <w:r>
              <w:rPr>
                <w:b w:val="0"/>
                <w:i w:val="0"/>
              </w:rPr>
              <w:br/>
            </w:r>
            <w:r>
              <w:rPr>
                <w:b w:val="0"/>
                <w:i w:val="0"/>
              </w:rPr>
              <w:t>- Lưu: VT, TCNH.</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(Đã ký) </w:t>
            </w:r>
            <w:r>
              <w:rPr>
                <w:b w:val="0"/>
                <w:i w:val="0"/>
              </w:rPr>
              <w:br/>
            </w:r>
            <w:r>
              <w:rPr>
                <w:b/>
                <w:i w:val="0"/>
              </w:rPr>
              <w:t xml:space="preserve"> </w:t>
            </w:r>
            <w:r>
              <w:rPr>
                <w:b w:val="0"/>
                <w:i w:val="0"/>
              </w:rP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