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792/QD-UB Quy định giá cho thuê nhà thuộc sở hữu Nhà nước để làm việc, sản xuất và kinh doanh trên địa bàn thành phố Đà Lạt.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792/QD-UB</w:t>
      </w:r>
      <w:r>
        <w:rPr>
          <w:b w:val="0"/>
          <w:i w:val="0"/>
        </w:rPr>
        <w:br/>
      </w:r>
      <w:r>
        <w:rPr>
          <w:b w:val="0"/>
          <w:i w:val="0"/>
        </w:rPr>
        <w:br/>
      </w:r>
      <w:r>
        <w:rPr>
          <w:b w:val="0"/>
          <w:i/>
        </w:rPr>
        <w:br/>
      </w:r>
      <w:r>
        <w:rPr>
          <w:b w:val="0"/>
          <w:i/>
        </w:rPr>
        <w:t>Lâm Đồng, ngày 7 tháng 7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792/QD-UB</w:t>
      </w:r>
      <w:r>
        <w:rPr>
          <w:b w:val="0"/>
          <w:i w:val="0"/>
        </w:rPr>
        <w:br/>
      </w:r>
      <w:r>
        <w:rPr>
          <w:b w:val="0"/>
          <w:i w:val="0"/>
        </w:rPr>
        <w:br/>
      </w:r>
      <w:r>
        <w:rPr>
          <w:b w:val="0"/>
          <w:i/>
        </w:rPr>
        <w:br/>
      </w:r>
      <w:r>
        <w:rPr>
          <w:b w:val="0"/>
          <w:i/>
        </w:rPr>
        <w:t>Lâm Đồng, ngày 7 tháng 7 năm 1996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792/QD-UB</w:t>
      </w:r>
      <w:r>
        <w:rPr>
          <w:b w:val="0"/>
          <w:i w:val="0"/>
        </w:rPr>
        <w:br/>
      </w:r>
      <w:r>
        <w:rPr>
          <w:b w:val="0"/>
          <w:i w:val="0"/>
        </w:rPr>
        <w:br/>
      </w:r>
      <w:r>
        <w:rPr>
          <w:b w:val="0"/>
          <w:i/>
        </w:rPr>
        <w:br/>
      </w:r>
      <w:r>
        <w:rPr>
          <w:b w:val="0"/>
          <w:i/>
        </w:rPr>
        <w:t>Lâm Đồng, ngày 7 tháng 7 năm 1996</w:t>
      </w:r>
      <w:r>
        <w:rPr>
          <w:b w:val="0"/>
          <w:i/>
        </w:rPr>
        <w:br/>
      </w:r>
      <w:r>
        <w:rPr>
          <w:b w:val="0"/>
          <w:i w:val="0"/>
        </w:rPr>
        <w:br/>
      </w:r>
    </w:p>
    <w:p>
      <w:pPr>
        <w:jc w:val="center"/>
      </w:pPr>
      <w:r>
        <w:rPr>
          <w:b w:val="0"/>
          <w:i w:val="0"/>
        </w:rPr>
        <w:br/>
      </w:r>
      <w:r>
        <w:rPr>
          <w:b w:val="0"/>
          <w:i w:val="0"/>
        </w:rPr>
        <w:t>Số: 792/QD-UB</w:t>
      </w:r>
      <w:r>
        <w:rPr>
          <w:b w:val="0"/>
          <w:i w:val="0"/>
        </w:rPr>
        <w:br/>
      </w:r>
    </w:p>
    <w:p>
      <w:pPr>
        <w:jc w:val="center"/>
      </w:pPr>
      <w:r>
        <w:rPr>
          <w:b w:val="0"/>
          <w:i w:val="0"/>
        </w:rPr>
        <w:br/>
      </w:r>
      <w:r>
        <w:rPr>
          <w:b w:val="0"/>
          <w:i w:val="0"/>
        </w:rPr>
        <w:t>Lâm Đồng, ngày 7 tháng 7 năm 1996</w:t>
      </w:r>
      <w:r>
        <w:rPr>
          <w:b w:val="0"/>
          <w:i w:val="0"/>
        </w:rPr>
        <w:br/>
      </w:r>
    </w:p>
    <w:p>
      <w:r>
        <w:rPr>
          <w:b w:val="0"/>
          <w:i w:val="0"/>
        </w:rPr>
        <w:br/>
      </w:r>
      <w:r>
        <w:rPr>
          <w:b/>
          <w:i w:val="0"/>
        </w:rPr>
        <w:t xml:space="preserve">QUYẾT ĐỊNH CỦA UBND TỈNH LÂM ĐỒNG </w:t>
      </w:r>
      <w:r>
        <w:rPr>
          <w:b w:val="0"/>
          <w:i w:val="0"/>
        </w:rPr>
        <w:br/>
      </w:r>
      <w:r>
        <w:rPr>
          <w:b/>
          <w:i/>
        </w:rPr>
        <w:t>Về việc Quy định giá cho thuê nhà thuộc sở hữu Nhà nước</w:t>
      </w:r>
      <w:r>
        <w:rPr>
          <w:b w:val="0"/>
          <w:i w:val="0"/>
        </w:rPr>
        <w:br/>
      </w:r>
      <w:r>
        <w:rPr>
          <w:b/>
          <w:i/>
        </w:rPr>
        <w:t>để làm việc, sản xuất và kinh doanh trên địa bàn thành phố Đà Lạt</w:t>
      </w:r>
      <w:r>
        <w:rPr>
          <w:b w:val="0"/>
          <w:i w:val="0"/>
        </w:rPr>
        <w:br/>
      </w:r>
      <w:r>
        <w:rPr>
          <w:b/>
          <w:i w:val="0"/>
        </w:rPr>
        <w:t xml:space="preserve"> </w:t>
      </w:r>
      <w:r>
        <w:rPr>
          <w:b w:val="0"/>
          <w:i w:val="0"/>
        </w:rPr>
        <w:br/>
      </w:r>
      <w:r>
        <w:rPr>
          <w:b/>
          <w:i w:val="0"/>
        </w:rPr>
        <w:t xml:space="preserve">ỦY BAN NHÂN DÂN TỈNH LÂM ĐỒNG </w:t>
      </w:r>
      <w:r>
        <w:rPr>
          <w:b w:val="0"/>
          <w:i w:val="0"/>
        </w:rPr>
        <w:br/>
      </w:r>
      <w:r>
        <w:rPr>
          <w:b w:val="0"/>
          <w:i/>
        </w:rPr>
        <w:t>Căn cứ Luật tổ chức HĐND và UBND (sửa đổi) ngày 21/6/1994;</w:t>
      </w:r>
      <w:r>
        <w:rPr>
          <w:b w:val="0"/>
          <w:i w:val="0"/>
        </w:rPr>
        <w:br/>
      </w:r>
      <w:r>
        <w:rPr>
          <w:b w:val="0"/>
          <w:i/>
        </w:rPr>
        <w:t>Xét tờ trình số 241/TT-LS ngày 28/6/1996 của Liên Sở Tài chính vật giá - Xây dựng về giá cho thuê nhà để làm việc, sản xuất và kinh doanh trên địa bàn thành phố Đà lạt,</w:t>
      </w:r>
      <w:r>
        <w:rPr>
          <w:b/>
          <w:i w:val="0"/>
        </w:rPr>
        <w:t xml:space="preserve"> </w:t>
      </w:r>
      <w:r>
        <w:rPr>
          <w:b w:val="0"/>
          <w:i w:val="0"/>
        </w:rPr>
        <w:br/>
      </w:r>
      <w:r>
        <w:rPr>
          <w:b/>
          <w:i w:val="0"/>
        </w:rPr>
        <w:t>QUYẾT ĐỊNH:</w:t>
      </w:r>
      <w:r>
        <w:rPr>
          <w:b w:val="0"/>
          <w:i w:val="0"/>
        </w:rPr>
        <w:br/>
      </w:r>
      <w:r>
        <w:rPr>
          <w:b/>
          <w:i w:val="0"/>
        </w:rPr>
        <w:t xml:space="preserve">Điều 1. </w:t>
      </w:r>
      <w:r>
        <w:rPr>
          <w:b w:val="0"/>
          <w:i w:val="0"/>
        </w:rPr>
        <w:t>Quy định giá cho thuê nhà thuộc sở hữu Nhà nước để làm việc, sản xuất và kinh doanh trên địa bàn thành phố Đà lạt như sau:</w:t>
      </w:r>
      <w:r>
        <w:rPr>
          <w:b w:val="0"/>
          <w:i w:val="0"/>
        </w:rPr>
        <w:br/>
      </w:r>
      <w:r>
        <w:rPr>
          <w:b w:val="0"/>
          <w:i w:val="0"/>
        </w:rPr>
        <w:t>1. Đối với đối tượng thuê nhà do ngân sách nhà nước cấp kinh phí để trả tiền thuê nhà trong khi chưa có quy định mới:</w:t>
      </w:r>
      <w:r>
        <w:rPr>
          <w:b w:val="0"/>
          <w:i w:val="0"/>
        </w:rPr>
        <w:br/>
      </w:r>
      <w:r>
        <w:rPr>
          <w:b w:val="0"/>
          <w:i w:val="0"/>
        </w:rPr>
        <w:t>Mức giá: 7.500 đồng/m2 sử dụng/tháng, không phân biệt cấp hạng và không tính thêm các hệ số.</w:t>
      </w:r>
      <w:r>
        <w:rPr>
          <w:b w:val="0"/>
          <w:i w:val="0"/>
        </w:rPr>
        <w:br/>
      </w:r>
      <w:r>
        <w:rPr>
          <w:b w:val="0"/>
          <w:i w:val="0"/>
        </w:rPr>
        <w:t>2. Đối tượng thuê nhà là các doanh nghiệp, các tổ chức và cá nhân trong nước sử dụng nhà thuê vào mục đích: sản xuất, kinh doanh, dịch vụ:</w:t>
      </w:r>
      <w:r>
        <w:rPr>
          <w:b w:val="0"/>
          <w:i w:val="0"/>
        </w:rPr>
        <w:br/>
      </w:r>
      <w:r>
        <w:rPr>
          <w:b w:val="0"/>
          <w:i w:val="0"/>
        </w:rPr>
        <w:t>Giá cho thuê nhà được xác định trên cơ sở giá chuẩn và các hệ số điều chỉnh theo ngành nghề, vị trí địa điểm, kết cấu hạ tầng, yếu tố thuận lợi và hệ số tầng cao.</w:t>
      </w:r>
      <w:r>
        <w:rPr>
          <w:b w:val="0"/>
          <w:i w:val="0"/>
        </w:rPr>
        <w:br/>
      </w:r>
      <w:r>
        <w:rPr>
          <w:b w:val="0"/>
          <w:i w:val="0"/>
        </w:rPr>
        <w:t>a- Giá chuẩn : (đồng/m2 sử dụng/tháng)</w:t>
      </w:r>
      <w:r>
        <w:rPr>
          <w:b w:val="0"/>
          <w:i w:val="0"/>
        </w:rPr>
        <w:br/>
      </w:r>
      <w:r>
        <w:rPr>
          <w:b w:val="0"/>
          <w:i w:val="0"/>
        </w:rPr>
        <w:t>Nhà cấp I : 8.500;</w:t>
      </w:r>
      <w:r>
        <w:rPr>
          <w:b w:val="0"/>
          <w:i w:val="0"/>
        </w:rPr>
        <w:br/>
      </w:r>
      <w:r>
        <w:rPr>
          <w:b w:val="0"/>
          <w:i w:val="0"/>
        </w:rPr>
        <w:t>Nhà cấp II : 7.500;</w:t>
      </w:r>
      <w:r>
        <w:rPr>
          <w:b w:val="0"/>
          <w:i w:val="0"/>
        </w:rPr>
        <w:br/>
      </w:r>
      <w:r>
        <w:rPr>
          <w:b w:val="0"/>
          <w:i w:val="0"/>
        </w:rPr>
        <w:t>Nhà cấp III : 6.500;</w:t>
      </w:r>
      <w:r>
        <w:rPr>
          <w:b w:val="0"/>
          <w:i w:val="0"/>
        </w:rPr>
        <w:br/>
      </w:r>
      <w:r>
        <w:rPr>
          <w:b w:val="0"/>
          <w:i w:val="0"/>
        </w:rPr>
        <w:t>Nhà cấp IV : 4.500</w:t>
      </w:r>
      <w:r>
        <w:rPr>
          <w:b w:val="0"/>
          <w:i w:val="0"/>
        </w:rPr>
        <w:br/>
      </w:r>
      <w:r>
        <w:rPr>
          <w:b w:val="0"/>
          <w:i w:val="0"/>
        </w:rPr>
        <w:t>Các kiosque giá đồng hạng là 6.000 đồng/m2 sử dụng/tháng và không phân biệt cấp hạng như đối với nhà.</w:t>
      </w:r>
      <w:r>
        <w:rPr>
          <w:b w:val="0"/>
          <w:i w:val="0"/>
        </w:rPr>
        <w:br/>
      </w:r>
      <w:r>
        <w:rPr>
          <w:b w:val="0"/>
          <w:i w:val="0"/>
        </w:rPr>
        <w:t>b- Các hệ số điều chỉnh giá chuẩn bao gồm:</w:t>
      </w:r>
      <w:r>
        <w:rPr>
          <w:b w:val="0"/>
          <w:i w:val="0"/>
        </w:rPr>
        <w:br/>
      </w:r>
      <w:r>
        <w:rPr>
          <w:b w:val="0"/>
          <w:i w:val="0"/>
        </w:rPr>
        <w:t>Hệ số ngành nghề K1 = 0 đến 0,5</w:t>
      </w:r>
      <w:r>
        <w:rPr>
          <w:b w:val="0"/>
          <w:i w:val="0"/>
        </w:rPr>
        <w:br/>
      </w:r>
      <w:r>
        <w:rPr>
          <w:b w:val="0"/>
          <w:i w:val="0"/>
        </w:rPr>
        <w:t>Hệ số vị trí địa điểm K2 = 0 đến 2,5</w:t>
      </w:r>
      <w:r>
        <w:rPr>
          <w:b w:val="0"/>
          <w:i w:val="0"/>
        </w:rPr>
        <w:br/>
      </w:r>
      <w:r>
        <w:rPr>
          <w:b w:val="0"/>
          <w:i w:val="0"/>
        </w:rPr>
        <w:t>Hệ số kết cấu hạ tầng K3 =- 0,5 đến 0,5</w:t>
      </w:r>
      <w:r>
        <w:rPr>
          <w:b w:val="0"/>
          <w:i w:val="0"/>
        </w:rPr>
        <w:br/>
      </w:r>
      <w:r>
        <w:rPr>
          <w:b w:val="0"/>
          <w:i w:val="0"/>
        </w:rPr>
        <w:t>Hệ số khai thác yếu tố thuận lợi K4 = - 0,5 đến 3</w:t>
      </w:r>
      <w:r>
        <w:rPr>
          <w:b w:val="0"/>
          <w:i w:val="0"/>
        </w:rPr>
        <w:br/>
      </w:r>
      <w:r>
        <w:rPr>
          <w:b w:val="0"/>
          <w:i w:val="0"/>
        </w:rPr>
        <w:t>Hệ số tầng cao K5 = - 1,0 đến 1,0</w:t>
      </w:r>
      <w:r>
        <w:rPr>
          <w:b w:val="0"/>
          <w:i w:val="0"/>
        </w:rPr>
        <w:br/>
      </w:r>
      <w:r>
        <w:rPr>
          <w:b w:val="0"/>
          <w:i w:val="0"/>
        </w:rPr>
        <w:t>(tổng các hệ số K lớn hơn 0).</w:t>
      </w:r>
      <w:r>
        <w:rPr>
          <w:b w:val="0"/>
          <w:i w:val="0"/>
        </w:rPr>
        <w:br/>
      </w:r>
      <w:r>
        <w:rPr>
          <w:b w:val="0"/>
          <w:i w:val="0"/>
        </w:rPr>
        <w:t>Giao Sở Tài chính vật giá và Sở Xây dựng tỉnh có quy định hướng dẫn thực hiện, đảm bảo theo quy định hiện hành của Nhà nước và phù hợp với tình hình thực tế của địa phương.</w:t>
      </w:r>
      <w:r>
        <w:rPr>
          <w:b w:val="0"/>
          <w:i w:val="0"/>
        </w:rPr>
        <w:br/>
      </w:r>
      <w:r>
        <w:rPr>
          <w:b/>
          <w:i w:val="0"/>
        </w:rPr>
        <w:t>Điều 2</w:t>
      </w:r>
      <w:r>
        <w:rPr>
          <w:b w:val="0"/>
          <w:i w:val="0"/>
        </w:rPr>
        <w:br/>
      </w:r>
      <w:r>
        <w:rPr>
          <w:b w:val="0"/>
          <w:i w:val="0"/>
        </w:rPr>
        <w:t>1. Giá cho thuê nhà trên chỉ áp dụng cho các trường hợp thuê nhà của Công ty Kinh doanh và Phát triển nhà tỉnh, các tổ chức, cá nhân là người nước ngoài thuê nhà thực hiện theo quy định riêng của Chính phủ.</w:t>
      </w:r>
      <w:r>
        <w:rPr>
          <w:b w:val="0"/>
          <w:i w:val="0"/>
        </w:rPr>
        <w:br/>
      </w:r>
      <w:r>
        <w:rPr>
          <w:b w:val="0"/>
          <w:i w:val="0"/>
        </w:rPr>
        <w:t>2. Giá cho thuê nhà trên được áp dụng kể từ ngày 1/1/1996.</w:t>
      </w:r>
      <w:r>
        <w:rPr>
          <w:b w:val="0"/>
          <w:i w:val="0"/>
        </w:rPr>
        <w:br/>
      </w:r>
      <w:r>
        <w:rPr>
          <w:b w:val="0"/>
          <w:i w:val="0"/>
        </w:rPr>
        <w:t>3. Giao Sở Tài chính vật giá tỉnh, Sở Xây dựng tỉnh phối hợp hướng dẫn và tổ chức kiểm tra, theo dõi quá trình thực hiện. Trường hợp gặp khó khăn, vướng mắc thì kịp thời giải quyết hoặc trình UBND tỉnh xem xét giải quyết.</w:t>
      </w:r>
      <w:r>
        <w:rPr>
          <w:b w:val="0"/>
          <w:i w:val="0"/>
        </w:rPr>
        <w:br/>
      </w:r>
      <w:r>
        <w:rPr>
          <w:b/>
          <w:i w:val="0"/>
        </w:rPr>
        <w:t xml:space="preserve">Điều 3. </w:t>
      </w:r>
      <w:r>
        <w:rPr>
          <w:b w:val="0"/>
          <w:i w:val="0"/>
        </w:rPr>
        <w:t>Các ông: Chánh Văn phòng UBND tỉnh, Chủ tịch UBND thành phố Đà Lạt, giám đốc các Sở: Tài chính vật giá, Xây dựng, giám đốc Công ty Kinh doanh và Phát triển nhà tỉnh và các ngành, đơn vị có liên quan có trách nhiệm thi hành quyết định này kể từ ngày ký.</w:t>
      </w:r>
      <w:r>
        <w:rPr>
          <w:b w:val="0"/>
          <w:i w:val="0"/>
        </w:rPr>
        <w:br/>
      </w:r>
      <w:r>
        <w:rPr>
          <w:b w:val="0"/>
          <w:i w:val="0"/>
        </w:rPr>
        <w:t>Các quyết định và văn bản khác của tỉnh trái với nội dung quyết định này đều không còn hiệu lực thi hành.</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Đặng Đức Lợi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Đức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Đặng Đức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