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80/2000/QĐ-BNN-TCCB V/v giải thể chi nhánh công ty giới thiệu và tiêu thụ sản phẩm</w:t>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80/2000/QĐ-BNN-TCCB</w:t>
      </w:r>
      <w:r>
        <w:rPr>
          <w:b w:val="0"/>
          <w:i w:val="0"/>
        </w:rPr>
        <w:br/>
      </w:r>
      <w:r>
        <w:rPr>
          <w:b w:val="0"/>
          <w:i w:val="0"/>
        </w:rPr>
        <w:br/>
      </w:r>
      <w:r>
        <w:rPr>
          <w:b w:val="0"/>
          <w:i/>
        </w:rPr>
        <w:br/>
      </w:r>
      <w:r>
        <w:rPr>
          <w:b w:val="0"/>
          <w:i/>
        </w:rPr>
        <w:t>Hà Nội, ngày 31 tháng 07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80/2000/QĐ-BNN-TCCB</w:t>
      </w:r>
      <w:r>
        <w:rPr>
          <w:b w:val="0"/>
          <w:i w:val="0"/>
        </w:rPr>
        <w:br/>
      </w:r>
      <w:r>
        <w:rPr>
          <w:b w:val="0"/>
          <w:i w:val="0"/>
        </w:rPr>
        <w:br/>
      </w:r>
      <w:r>
        <w:rPr>
          <w:b w:val="0"/>
          <w:i/>
        </w:rPr>
        <w:br/>
      </w:r>
      <w:r>
        <w:rPr>
          <w:b w:val="0"/>
          <w:i/>
        </w:rPr>
        <w:t>Hà Nội, ngày 31 tháng 07 năm 2000</w:t>
      </w:r>
      <w:r>
        <w:rPr>
          <w:b w:val="0"/>
          <w:i/>
        </w:rPr>
        <w:br/>
      </w:r>
      <w:r>
        <w:rPr>
          <w:b w:val="0"/>
          <w:i w:val="0"/>
        </w:rPr>
        <w:br/>
      </w:r>
    </w:p>
    <w:p>
      <w:pPr>
        <w:jc w:val="center"/>
      </w:pPr>
      <w:r>
        <w:rPr>
          <w:b w:val="0"/>
          <w:i w:val="0"/>
        </w:rPr>
        <w:br/>
      </w:r>
      <w:r>
        <w:rPr>
          <w:b w:val="0"/>
          <w:i w:val="0"/>
        </w:rPr>
        <w:t>Số: 80/2000/QĐ-BNN-TCCB</w:t>
      </w:r>
      <w:r>
        <w:rPr>
          <w:b w:val="0"/>
          <w:i w:val="0"/>
        </w:rPr>
        <w:br/>
      </w:r>
    </w:p>
    <w:p>
      <w:pPr>
        <w:jc w:val="center"/>
      </w:pPr>
      <w:r>
        <w:rPr>
          <w:b w:val="0"/>
          <w:i w:val="0"/>
        </w:rPr>
        <w:br/>
      </w:r>
      <w:r>
        <w:rPr>
          <w:b w:val="0"/>
          <w:i w:val="0"/>
        </w:rPr>
        <w:t>Hà Nội, ngày 31 tháng 07 năm 2000</w:t>
      </w:r>
      <w:r>
        <w:rPr>
          <w:b w:val="0"/>
          <w:i w:val="0"/>
        </w:rPr>
        <w:br/>
      </w:r>
    </w:p>
    <w:p>
      <w:r>
        <w:rPr>
          <w:b/>
          <w:i w:val="0"/>
        </w:rPr>
        <w:t>QUYẾT ĐỊNH</w:t>
      </w:r>
    </w:p>
    <w:p>
      <w:r>
        <w:rPr>
          <w:b/>
          <w:i w:val="0"/>
        </w:rPr>
        <w:t xml:space="preserve">V/v giải thể chi nhánh công ty giới thiệu và tiêu thụ sản phẩm </w:t>
      </w:r>
    </w:p>
    <w:p>
      <w:r>
        <w:rPr>
          <w:b/>
          <w:i w:val="0"/>
        </w:rPr>
        <w:t>__________________________</w:t>
      </w:r>
    </w:p>
    <w:p>
      <w:r>
        <w:rPr>
          <w:b/>
          <w:i w:val="0"/>
        </w:rPr>
        <w:t>BỘ TRƯỞNG BỘ NÔNG NGHIỆP VÀ PHÁT TRIỂN NÔNG THÔN</w:t>
      </w:r>
    </w:p>
    <w:p>
      <w:pPr>
        <w:jc w:val="both"/>
      </w:pPr>
      <w:r>
        <w:rPr>
          <w:b w:val="0"/>
          <w:i/>
        </w:rPr>
        <w:t>Căn cứ Nghị định số 73/CP ngày 01/11/1995 của Chính phủ về chức năng, nhiệm vụ, quyền hạn và tổ chức bộ máy của Bộ Nông nghiệp và Phát triển nông thôn;</w:t>
      </w:r>
    </w:p>
    <w:p>
      <w:pPr>
        <w:jc w:val="both"/>
      </w:pPr>
      <w:r>
        <w:rPr>
          <w:b w:val="0"/>
          <w:i/>
        </w:rPr>
        <w:t>Căn cứ Nghị định số 50/CP ngày 28/8/1996 của Chính phủ về việc thành lập, tổ chức lại, giải thể và phá sản doanh nghiệp Nhà nước và Nghị định số 38/CP ngày 28/4/1997 của Chính phủ v/v sửa đổi và bổ sung một số điều của Nghị định 50/CP;</w:t>
      </w:r>
    </w:p>
    <w:p>
      <w:pPr>
        <w:jc w:val="both"/>
      </w:pPr>
      <w:r>
        <w:rPr>
          <w:b w:val="0"/>
          <w:i/>
        </w:rPr>
        <w:t>Xét báo cáo và đề nghị của Giám đốc Công ty Giới thiệu và tiêu thụ sản phẩm nông nghiệp và công nghiệp thực phẩm (công văn số 95/CV ngày 10/3/2000): Chi nhánh Công ty Giới thiệu và tiêu thụ sản phẩm nông nghiệp và công nghiệp thực phẩm tại thành phố Hồ Chí Minh đã hoàn thành nhiệm vụ, nay Công ty không cần tiếp tục duy trì Chi nhánh này;</w:t>
      </w:r>
    </w:p>
    <w:p>
      <w:pPr>
        <w:jc w:val="both"/>
      </w:pPr>
      <w:r>
        <w:rPr>
          <w:b w:val="0"/>
          <w:i/>
        </w:rPr>
        <w:t>Xét đề nghị của Vụ trưởng Vụ Tổ chức cán bộ,</w:t>
      </w:r>
    </w:p>
    <w:p>
      <w:r>
        <w:rPr>
          <w:b/>
          <w:i w:val="0"/>
        </w:rPr>
        <w:t xml:space="preserve">QUYẾT ĐỊNH: </w:t>
      </w:r>
    </w:p>
    <w:p>
      <w:pPr>
        <w:jc w:val="both"/>
      </w:pPr>
      <w:r>
        <w:rPr>
          <w:b/>
          <w:i w:val="0"/>
        </w:rPr>
        <w:t xml:space="preserve">Điều 1. </w:t>
      </w:r>
      <w:r>
        <w:rPr>
          <w:b w:val="0"/>
          <w:i w:val="0"/>
        </w:rPr>
        <w:t>- Giải thể Chi nhánh Công ty Giới thiệu và tiêu thụ sản phẩm nông nghiệp và công nghiệp thực phẩm tại thành phố Hồ Chí Minh, có trụ sở chính tại 135 Pasteur, quận 3 thành phố Hồ Chí Minh.</w:t>
      </w:r>
    </w:p>
    <w:p>
      <w:pPr>
        <w:jc w:val="both"/>
      </w:pPr>
      <w:r>
        <w:rPr>
          <w:b/>
          <w:i w:val="0"/>
        </w:rPr>
        <w:t xml:space="preserve">Điều 2. </w:t>
      </w:r>
      <w:r>
        <w:rPr>
          <w:b w:val="0"/>
          <w:i w:val="0"/>
        </w:rPr>
        <w:t>- Giám đốc Công ty Giới thiệu và tiêu thụ sản phẩm nông nghiệp và công nghiệp thực phẩm có trách nhiệm giải quyết tất cả những vấn đề về lao động, tài sản, tài chính ... (nếu có) do việc giải thể Chi nhánh để lại.</w:t>
      </w:r>
    </w:p>
    <w:p>
      <w:pPr>
        <w:jc w:val="both"/>
      </w:pPr>
      <w:r>
        <w:rPr>
          <w:b/>
          <w:i w:val="0"/>
        </w:rPr>
        <w:t xml:space="preserve">Điều 3. </w:t>
      </w:r>
      <w:r>
        <w:rPr>
          <w:b w:val="0"/>
          <w:i w:val="0"/>
        </w:rPr>
        <w:t>- Quyết định này có hiệu lực sau 15 ngày, kể từ ngày ký. Bãi bỏ Quyết định số 220 NN-TCCB/QĐ ngày 01/4/1995 của Bộ Nông nghiệp và công nghiệp thực phẩm (nay là Bộ Nông nghiệp và Phát triển nông thôn )</w:t>
      </w:r>
    </w:p>
    <w:p>
      <w:pPr>
        <w:jc w:val="both"/>
      </w:pPr>
      <w:r>
        <w:rPr>
          <w:b/>
          <w:i w:val="0"/>
        </w:rPr>
        <w:t xml:space="preserve">Điều 4. - </w:t>
      </w:r>
      <w:r>
        <w:rPr>
          <w:b w:val="0"/>
          <w:i w:val="0"/>
        </w:rPr>
        <w:t>Chánh văn phòng, Vụ trưởng Vụ Tổ chức cán bộ, Thủ trưởng các đơn vị có liên quan thuộc Bộ, Giám đốc Công ty Giới thiệu và tiêu thụ sản phẩm nông nghiệp và công nghiệp thực phẩm và Giám đốc Chi nhánh Công ty Giới thiệu và tiêu thụ sản phẩm nông nghiệp và công nghiệp thực phẩm tại thành phố Hồ Chí Minh chịu trách nhiệm thi hành quyết định này./.</w:t>
      </w:r>
    </w:p>
    <w:p>
      <w:r>
        <w:rPr>
          <w:b w:val="0"/>
          <w:i w:val="0"/>
        </w:rPr>
        <w:br/>
      </w:r>
      <w:r>
        <w:rPr>
          <w:b/>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VÀ 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BỘ NÔNG NGHIỆP VÀ PHÁT TRIỂN NÔNG THÔN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