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80/2004/QĐ-BTC Về việc bổ sung Danh mục dự án vay vốn tín dụng đầu tư phát triển của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80/2004/QĐ-BTC</w:t>
        <w:br/>
        <w:t xml:space="preserve">     </w:t>
      </w:r>
      <w:r>
        <w:rPr>
          <w:b w:val="0"/>
          <w:i w:val="0"/>
        </w:rPr>
        <w:br/>
      </w:r>
      <w:r>
        <w:rPr>
          <w:b w:val="0"/>
          <w:i/>
        </w:rPr>
        <w:br/>
        <w:t xml:space="preserve">      Hà Nội, ngày 12 tháng 10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80/2004/QĐ-BTC</w:t>
        <w:br/>
        <w:t xml:space="preserve">     </w:t>
      </w:r>
      <w:r>
        <w:rPr>
          <w:b w:val="0"/>
          <w:i w:val="0"/>
        </w:rPr>
        <w:br/>
      </w:r>
      <w:r>
        <w:rPr>
          <w:b w:val="0"/>
          <w:i/>
        </w:rPr>
        <w:br/>
        <w:t xml:space="preserve">      Hà Nội, ngày 12 tháng 10 năm 2004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80/2004/QĐ-BTC</w:t>
        <w:br/>
        <w:t xml:space="preserve">     </w:t>
      </w:r>
      <w:r>
        <w:rPr>
          <w:b w:val="0"/>
          <w:i w:val="0"/>
        </w:rPr>
        <w:br/>
      </w:r>
      <w:r>
        <w:rPr>
          <w:b w:val="0"/>
          <w:i/>
        </w:rPr>
        <w:br/>
        <w:t xml:space="preserve">      Hà Nội, ngày 12 tháng 10 năm 2004</w:t>
        <w:br/>
        <w:t xml:space="preserve">     </w:t>
      </w:r>
      <w:r>
        <w:rPr>
          <w:b w:val="0"/>
          <w:i w:val="0"/>
        </w:rPr>
        <w:br/>
      </w:r>
    </w:p>
    <w:p>
      <w:pPr>
        <w:jc w:val="center"/>
      </w:pPr>
      <w:r>
        <w:rPr>
          <w:b w:val="0"/>
          <w:i w:val="0"/>
        </w:rPr>
        <w:br/>
        <w:t xml:space="preserve">      Số: 80/2004/QĐ-BTC</w:t>
        <w:br/>
        <w:t xml:space="preserve">     </w:t>
      </w:r>
    </w:p>
    <w:p>
      <w:pPr>
        <w:jc w:val="center"/>
      </w:pPr>
      <w:r>
        <w:rPr>
          <w:b w:val="0"/>
          <w:i w:val="0"/>
        </w:rPr>
        <w:br/>
        <w:t xml:space="preserve">      Hà Nội, ngày 12 tháng 10 năm 2004</w:t>
        <w:br/>
        <w:t xml:space="preserve">     </w:t>
      </w:r>
    </w:p>
    <w:p>
      <w:r>
        <w:rPr>
          <w:b/>
          <w:i w:val="0"/>
        </w:rPr>
        <w:t>QUYẾT ĐỊNH</w:t>
      </w:r>
    </w:p>
    <w:p>
      <w:r>
        <w:rPr>
          <w:b/>
          <w:i w:val="0"/>
        </w:rPr>
        <w:t xml:space="preserve">Về việc bổ sung Danh mục dự án </w:t>
      </w:r>
      <w:r>
        <w:rPr>
          <w:b/>
          <w:i w:val="0"/>
        </w:rPr>
        <w:t>vay vốn tín dụng đầu tư phát triển của Nhà nước</w:t>
      </w:r>
    </w:p>
    <w:p>
      <w:r>
        <w:rPr>
          <w:b/>
          <w:i w:val="0"/>
        </w:rPr>
        <w:t>_________________________________________</w:t>
      </w:r>
    </w:p>
    <w:p>
      <w:r>
        <w:rPr>
          <w:b/>
          <w:i w:val="0"/>
        </w:rPr>
        <w:t>BỘ TRƯỞNG BỘ TÀI CHÍNH</w:t>
      </w:r>
    </w:p>
    <w:p>
      <w:r>
        <w:rPr>
          <w:b w:val="0"/>
          <w:i/>
        </w:rPr>
        <w:t>Căn cứ Luật Tổ chức Chính phủ ngày 25 tháng 12 năm 2001;</w:t>
      </w:r>
    </w:p>
    <w:p>
      <w:r>
        <w:rPr>
          <w:b w:val="0"/>
          <w:i/>
        </w:rPr>
        <w:t>Căn cứ Nghị định số 77/2003/NĐ-CP ngày 01 tháng 7 năm 2003 của  Chính phủ quy định chức năng, nhiệm vụ, quyền hạn và cơ cấu tổ chức của Bộ Tài chính;</w:t>
      </w:r>
    </w:p>
    <w:p>
      <w:r>
        <w:rPr>
          <w:b w:val="0"/>
          <w:i/>
        </w:rPr>
        <w:t>Căn cứ Nghị định số 106/2004/NĐ-CP ngày 1 tháng 4 năm 2004 của Chính phủ về tín dụng đầu tư phát triển của Nhà nước;</w:t>
      </w:r>
    </w:p>
    <w:p>
      <w:r>
        <w:rPr>
          <w:b w:val="0"/>
          <w:i/>
        </w:rPr>
        <w:t xml:space="preserve">Căn cứ chỉ đạo của Thủ tướng Chính phủ tại văn bản số 1091/CP-KTTH ngày 9 tháng 8 năm 2004 và văn bản số 1435/CP-KTTH ngày 01 tháng 10 năm 2004; </w:t>
      </w:r>
    </w:p>
    <w:p>
      <w:r>
        <w:rPr>
          <w:b w:val="0"/>
          <w:i/>
        </w:rPr>
        <w:t>Theo đề nghị của Vụ trưởng Vụ Tài chính các ngân hàng và tổ chức tài chính,</w:t>
      </w:r>
    </w:p>
    <w:p>
      <w:r>
        <w:rPr>
          <w:b/>
          <w:i w:val="0"/>
        </w:rPr>
        <w:t>QUYẾT ĐỊNH</w:t>
      </w:r>
    </w:p>
    <w:p>
      <w:r>
        <w:rPr>
          <w:b/>
          <w:i w:val="0"/>
        </w:rPr>
        <w:t xml:space="preserve">Điều 1. </w:t>
      </w:r>
      <w:r>
        <w:rPr>
          <w:b w:val="0"/>
          <w:i w:val="0"/>
        </w:rPr>
        <w:t>Bổ sung Danh mục các dự án vay vốn tín dụng đầu tư phát triển của Nhà nước ban hành kèm theo Quyết định số 54/2004/QĐ-BTC ngày 16 tháng 6 năm 2004 của Bộ trưởng Bộ Tài chính như sau:</w:t>
      </w:r>
    </w:p>
    <w:p>
      <w:r>
        <w:rPr>
          <w:b w:val="0"/>
          <w:i w:val="0"/>
        </w:rPr>
        <w:t>1. Các dự án đóng tàu mẫu (sản phẩm đầu tiên) của Tổng công ty Công nghiệp tàu thuỷ Việt Nam:</w:t>
      </w:r>
    </w:p>
    <w:p>
      <w:r>
        <w:rPr>
          <w:b w:val="0"/>
          <w:i w:val="0"/>
        </w:rPr>
        <w:t>a) 01 tầu chở dầu thô trọng tải 100.000 tấn trở lên;</w:t>
      </w:r>
    </w:p>
    <w:p>
      <w:r>
        <w:rPr>
          <w:b w:val="0"/>
          <w:i w:val="0"/>
        </w:rPr>
        <w:t>b) 01 tầu chở dầu thành phẩm (xăng, diezel,…) trọng tải 13.500 tấn trở lên;</w:t>
      </w:r>
    </w:p>
    <w:p>
      <w:r>
        <w:rPr>
          <w:b w:val="0"/>
          <w:i w:val="0"/>
        </w:rPr>
        <w:t>c) 01 tầu chở container sức chở 564 TEU trở lên;</w:t>
      </w:r>
    </w:p>
    <w:p>
      <w:r>
        <w:rPr>
          <w:b w:val="0"/>
          <w:i w:val="0"/>
        </w:rPr>
        <w:t>d) 01 hệ thống tầu Lash trọng tải 10.900 tấn (gồm 01 tầu mẹ, 02 tầu công tác và 120 xà lan tải trọng 200 tấn).</w:t>
      </w:r>
    </w:p>
    <w:p>
      <w:r>
        <w:rPr>
          <w:b w:val="0"/>
          <w:i w:val="0"/>
        </w:rPr>
        <w:t>2. Dự án sản xuất động cơ diesel từ 100 - 400 mã lực của Công ty diesel Sông Công thuộc Tổng công ty Máy động lực và Máy nông nghiệp.</w:t>
      </w:r>
    </w:p>
    <w:p>
      <w:r>
        <w:rPr>
          <w:b/>
          <w:i w:val="0"/>
        </w:rPr>
        <w:t xml:space="preserve">Điều 2. </w:t>
      </w:r>
      <w:r>
        <w:rPr>
          <w:b w:val="0"/>
          <w:i w:val="0"/>
        </w:rPr>
        <w:t>Các dự án đầu tư đóng tầu mẫu và sản xuất động cơ diesel nêu trên đáp ứng đủ các điều kiện theo quy định được vay vốn tín dụng đầu tư phát triển của Nhà nước. Thời hạn ký hợp đồng tín dụng giữa chủ đầu tư có dự án nêu trên với Quỹ Hỗ trợ phát triển đến hết ngày 31/12/2005.</w:t>
      </w:r>
    </w:p>
    <w:p>
      <w:r>
        <w:rPr>
          <w:b/>
          <w:i w:val="0"/>
        </w:rPr>
        <w:t xml:space="preserve">Điều 3. </w:t>
      </w:r>
      <w:r>
        <w:rPr>
          <w:b w:val="0"/>
          <w:i w:val="0"/>
        </w:rPr>
        <w:t>Quyết định có hiệu lực thi hành sau 15 ngày, kể từ ngày đăng Công báo.</w:t>
      </w:r>
    </w:p>
    <w:p>
      <w:r>
        <w:rPr>
          <w:b w:val="0"/>
          <w:i w:val="0"/>
        </w:rPr>
        <w:t>Chủ tịch Hội đồng quản lý, Tổng Giám đốc Quỹ Hỗ trợ phát triển; Vụ trưởng Vụ Tài chính các ngân hàng và tổ chức tài chính; Chủ đầu tư các dự án đầu tư đóng tầu mẫu và sản xuất động cơ diesel nêu trên có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