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82/2007/QĐ-BTC Về việc công bố Danh mục văn bản quy phạm pháp luật do Bộ Tài chính ban hành và liên tịch ban hành đến ngày 31 tháng 12 năm 2006 nay đã hết hiệu lực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QUYẾT ĐỊNH</w:t>
      </w:r>
    </w:p>
    <w:p>
      <w:r>
        <w:rPr>
          <w:b/>
          <w:i w:val="0"/>
        </w:rPr>
        <w:t>VỀ VIỆC CÔNG BỐ DANH MỤC VĂN BẢN QUY PHẠM PHÁP LUẬT DO BỘ TÀI CHÍNH BAN HÀNH VÀ LIÊN TỊCH BAN HÀNH ĐẾN NGÀY 31 THÁNG 12 NĂM 2006 NAY ĐÃ HẾT HIỆU LỰC PHÁP LUẬT</w:t>
      </w:r>
    </w:p>
    <w:p>
      <w:r>
        <w:rPr>
          <w:b/>
          <w:i w:val="0"/>
        </w:rPr>
        <w:t>BỘ TRƯỞNG BỘ TÀI CHÍNH</w:t>
      </w:r>
    </w:p>
    <w:p>
      <w:r>
        <w:rPr>
          <w:b w:val="0"/>
          <w:i/>
        </w:rPr>
        <w:t>Căn cứ Luật ban hành văn bản quy phạm pháp luật ngày 12 tháng 11 năm 1996 và Luật sửa đổi bổ sung một số điều của Luật ban hành văn bản quy phạm pháp luật ngày 6 tháng 12 năm 2002;</w:t>
      </w:r>
    </w:p>
    <w:p>
      <w:r>
        <w:rPr>
          <w:b w:val="0"/>
          <w:i/>
        </w:rPr>
        <w:t>Căn cứ Nghị định số</w:t>
      </w:r>
      <w:r>
        <w:rPr>
          <w:b w:val="0"/>
          <w:i/>
        </w:rPr>
        <w:t xml:space="preserve"> </w:t>
      </w:r>
      <w:r>
        <w:rPr>
          <w:b w:val="0"/>
          <w:i/>
        </w:rPr>
        <w:t>161/2005/NĐ-CP</w:t>
      </w:r>
      <w:r>
        <w:rPr>
          <w:b w:val="0"/>
          <w:i/>
        </w:rPr>
        <w:t xml:space="preserve"> </w:t>
      </w:r>
      <w:r>
        <w:rPr>
          <w:b w:val="0"/>
          <w:i/>
        </w:rPr>
        <w:t>ngày 27/12/2005 của Chính phủ quy định chi tiết và hướng dẫn thi hành một số điều của Luật Ban hành văn bản quy phạm pháp luật và Luật sửa đổi, bổ sung một số điều của Luật ban hành văn bản quy phạm pháp luật;</w:t>
      </w:r>
    </w:p>
    <w:p>
      <w:r>
        <w:rPr>
          <w:b w:val="0"/>
          <w:i/>
        </w:rPr>
        <w:t>Căn cứ Nghị định số</w:t>
      </w:r>
      <w:r>
        <w:rPr>
          <w:b w:val="0"/>
          <w:i/>
        </w:rPr>
        <w:t xml:space="preserve"> </w:t>
      </w:r>
      <w:r>
        <w:rPr>
          <w:b w:val="0"/>
          <w:i/>
        </w:rPr>
        <w:t>77/2003/NĐ-CP</w:t>
      </w:r>
      <w:r>
        <w:rPr>
          <w:b w:val="0"/>
          <w:i/>
        </w:rPr>
        <w:t xml:space="preserve"> </w:t>
      </w:r>
      <w:r>
        <w:rPr>
          <w:b w:val="0"/>
          <w:i/>
        </w:rPr>
        <w:t>ngày 01/07/2003 của Chính phủ về nhiệm vụ, quyền hạn và cơ cấu tổ chức của Bộ Tài chính;</w:t>
      </w:r>
    </w:p>
    <w:p>
      <w:r>
        <w:rPr>
          <w:b w:val="0"/>
          <w:i/>
        </w:rPr>
        <w:t>Theo đề nghị của Vụ trưởng Vụ Pháp chế,</w:t>
      </w:r>
    </w:p>
    <w:p>
      <w:r>
        <w:rPr>
          <w:b/>
          <w:i w:val="0"/>
        </w:rPr>
        <w:t>QUYẾT ĐỊNH</w:t>
      </w:r>
    </w:p>
    <w:p>
      <w:r>
        <w:rPr>
          <w:b/>
          <w:i w:val="0"/>
        </w:rPr>
        <w:t xml:space="preserve">Điều 1. </w:t>
      </w:r>
      <w:r>
        <w:rPr>
          <w:b w:val="0"/>
          <w:i w:val="0"/>
        </w:rPr>
        <w:t>Công bố kèm theo Quyết định này:</w:t>
      </w:r>
    </w:p>
    <w:p>
      <w:r>
        <w:rPr>
          <w:b w:val="0"/>
          <w:i w:val="0"/>
        </w:rPr>
        <w:t xml:space="preserve">1. Danh mục văn bản quy phạm pháp luật do Bộ Tài chính ban hành theo thẩm quyền đến ngày 31 tháng 12 năm 2006 nay đã hết hiệu lực pháp luật </w:t>
      </w:r>
      <w:r>
        <w:rPr>
          <w:b w:val="0"/>
          <w:i/>
        </w:rPr>
        <w:t>(Danh mục I kèm theo);</w:t>
      </w:r>
    </w:p>
    <w:p>
      <w:r>
        <w:rPr>
          <w:b w:val="0"/>
          <w:i w:val="0"/>
        </w:rPr>
        <w:t xml:space="preserve">2. Danh mục Thông tư liên tịch do Bộ Tài chính chủ trì soạn thảo ban hành đến ngày 31 tháng 12 năm 2006 nay đã hết hiệu lực pháp luật </w:t>
      </w:r>
      <w:r>
        <w:rPr>
          <w:b w:val="0"/>
          <w:i/>
        </w:rPr>
        <w:t>(Danh mục II kèm theo).</w:t>
      </w:r>
    </w:p>
    <w:p>
      <w:r>
        <w:rPr>
          <w:b/>
          <w:i w:val="0"/>
        </w:rPr>
        <w:t>Điều 2.</w:t>
      </w:r>
      <w:r>
        <w:rPr>
          <w:b w:val="0"/>
          <w:i w:val="0"/>
        </w:rPr>
        <w:t xml:space="preserve"> Quyết định này có hiệu lực thi hành sau 15 ngày, kể từ ngày đăng Công báo.</w:t>
      </w:r>
    </w:p>
    <w:p>
      <w:r>
        <w:rPr>
          <w:b/>
          <w:i w:val="0"/>
        </w:rPr>
        <w:t xml:space="preserve">Điều 3. </w:t>
      </w:r>
      <w:r>
        <w:rPr>
          <w:b w:val="0"/>
          <w:i w:val="0"/>
        </w:rPr>
        <w:t>Các Bộ, cơ quan ngang Bộ, cơ quan thuộc Chính phủ, Uỷ ban nhân dân các tỉnh, thành phố trực thuộc Trung ương và các tổ chức, đơn vị thuộc Bộ Tài chính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VPCP; VP Quốc hội, VP Chủ tịch nước;</w:t>
            </w:r>
            <w:r>
              <w:br/>
            </w:r>
            <w:r>
              <w:rPr>
                <w:b w:val="0"/>
                <w:i w:val="0"/>
              </w:rPr>
              <w:br/>
              <w:t xml:space="preserve">         - VPTW và các Ban của Đảng;</w:t>
            </w:r>
            <w:r>
              <w:br/>
            </w:r>
            <w:r>
              <w:rPr>
                <w:b w:val="0"/>
                <w:i w:val="0"/>
              </w:rPr>
              <w:br/>
              <w:t xml:space="preserve">         - Các Bộ, cơ quan ngang Bộ, cơ quan thuộc Chính phủ; Kiểm toán Nhà nước;</w:t>
            </w:r>
            <w:r>
              <w:br/>
            </w:r>
            <w:r>
              <w:rPr>
                <w:b w:val="0"/>
                <w:i w:val="0"/>
              </w:rPr>
              <w:br/>
              <w:t xml:space="preserve">         - HĐND,UBND, Sở Tài chính; Kho bạc nhà nước các tỉnh, thành phố trực thuộc TW;</w:t>
            </w:r>
            <w:r>
              <w:br/>
            </w:r>
            <w:r>
              <w:rPr>
                <w:b w:val="0"/>
                <w:i w:val="0"/>
              </w:rPr>
              <w:br/>
              <w:t xml:space="preserve">         - Toà án NDTC, Viện kiểm sát NDTC;</w:t>
            </w:r>
            <w:r>
              <w:br/>
            </w:r>
            <w:r>
              <w:rPr>
                <w:b w:val="0"/>
                <w:i w:val="0"/>
              </w:rPr>
              <w:br/>
              <w:t xml:space="preserve">         - Cơ quan TW của các đoàn thể;</w:t>
            </w:r>
            <w:r>
              <w:br/>
            </w:r>
            <w:r>
              <w:rPr>
                <w:b w:val="0"/>
                <w:i w:val="0"/>
              </w:rPr>
              <w:br/>
              <w:t xml:space="preserve">         - Các tổ chức, đơn vị thuộc Bộ;</w:t>
            </w:r>
            <w:r>
              <w:br/>
            </w:r>
            <w:r>
              <w:rPr>
                <w:b w:val="0"/>
                <w:i w:val="0"/>
              </w:rPr>
              <w:br/>
              <w:t xml:space="preserve">         - Cục kiểm tra VB (Bộ TP);Công báo;</w:t>
            </w:r>
            <w:r>
              <w:br/>
            </w:r>
            <w:r>
              <w:rPr>
                <w:b w:val="0"/>
                <w:i w:val="0"/>
              </w:rPr>
              <w:br/>
              <w:t xml:space="preserve">         - Website Chính phủ ; Website BTC;</w:t>
            </w:r>
            <w:r>
              <w:br/>
            </w:r>
            <w:r>
              <w:rPr>
                <w:b w:val="0"/>
                <w:i w:val="0"/>
              </w:rPr>
              <w:t>- Lưu: VT, PC.</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Trần Văn Tá</w:t>
            </w:r>
          </w:p>
        </w:tc>
      </w:tr>
    </w:tbl>
    <w:p>
      <w:r>
        <w:rPr>
          <w:b/>
          <w:i w:val="0"/>
        </w:rPr>
        <w:t>DANH MỤC I</w:t>
      </w:r>
    </w:p>
    <w:p>
      <w:r>
        <w:rPr>
          <w:b w:val="0"/>
          <w:i w:val="0"/>
        </w:rPr>
        <w:t>VĂN BẢN QUY PHẠM PHÁP LUẬT DO BỘ TÀI CHÍNH BAN HÀNH THEO THẨM QUYỀN ĐẾN NGÀY 31/12/2006 NAY ĐÃ HẾT HIỆU LỰC PHÁP LUẬT</w:t>
      </w:r>
      <w:r>
        <w:br/>
      </w:r>
      <w:r>
        <w:rPr>
          <w:b w:val="0"/>
          <w:i/>
        </w:rPr>
        <w:t>(Ban hành kèm theo Quyết định số: 82 /2007/QĐ-BTC ngày 15 tháng 10 năm 2007 của Bộ trưởng Bộ Tài chính)</w:t>
      </w:r>
    </w:p>
    <w:p>
      <w:r>
        <w:rPr>
          <w:b w:val="0"/>
          <w:i w:val="0"/>
        </w:rPr>
        <w:t>Tổng số: 137 văn bản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văn bản</w:t>
            </w:r>
          </w:p>
        </w:tc>
        <w:tc>
          <w:tcPr>
            <w:tcW w:type="dxa" w:w="1440"/>
          </w:tcPr>
          <w:p>
            <w:r>
              <w:rPr>
                <w:b w:val="0"/>
                <w:i w:val="0"/>
              </w:rPr>
              <w:br/>
            </w:r>
            <w:r>
              <w:rPr>
                <w:b/>
                <w:i w:val="0"/>
              </w:rPr>
              <w:t>Ngày ban hành</w:t>
            </w:r>
          </w:p>
        </w:tc>
        <w:tc>
          <w:tcPr>
            <w:tcW w:type="dxa" w:w="1440"/>
          </w:tcPr>
          <w:p>
            <w:r>
              <w:rPr>
                <w:b w:val="0"/>
                <w:i w:val="0"/>
              </w:rPr>
              <w:br/>
            </w:r>
            <w:r>
              <w:rPr>
                <w:b/>
                <w:i w:val="0"/>
              </w:rPr>
              <w:t>Cơ quan ban hành</w:t>
            </w:r>
          </w:p>
        </w:tc>
        <w:tc>
          <w:tcPr>
            <w:tcW w:type="dxa" w:w="1440"/>
          </w:tcPr>
          <w:p>
            <w:r>
              <w:rPr>
                <w:b w:val="0"/>
                <w:i w:val="0"/>
              </w:rPr>
              <w:br/>
            </w:r>
            <w:r>
              <w:rPr>
                <w:b/>
                <w:i w:val="0"/>
              </w:rPr>
              <w:t>Nội dung trích yếu</w:t>
            </w:r>
          </w:p>
        </w:tc>
      </w:tr>
    </w:tbl>
    <w:p>
      <w:r>
        <w:rPr>
          <w:b/>
          <w:i w:val="0"/>
        </w:rPr>
        <w:t>DANH MỤC II</w:t>
      </w:r>
    </w:p>
    <w:p>
      <w:r>
        <w:rPr>
          <w:b w:val="0"/>
          <w:i w:val="0"/>
        </w:rPr>
        <w:t>THÔNG TƯ LIÊN TỊCH DO BỘ TÀI CHÍNH CHỦ TRÌ SOẠN THẢO BAN HÀNH ĐẾN NGÀY 31/12/2006 NAY ĐÃ HẾT HIỆU LỰC PHÁP LUẬT</w:t>
      </w:r>
      <w:r>
        <w:br/>
      </w:r>
      <w:r>
        <w:rPr>
          <w:b w:val="0"/>
          <w:i/>
        </w:rPr>
        <w:t>(Ban hành kèm theo Quyết định số: 82/2007/QĐ-BTC ngày 15 tháng 10 năm 2007 của Bộ trưởng Bộ Tài chính)</w:t>
      </w:r>
    </w:p>
    <w:p>
      <w:r>
        <w:rPr>
          <w:b w:val="0"/>
          <w:i w:val="0"/>
        </w:rPr>
        <w:t>Tổng số: 23 văn bản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văn bản</w:t>
            </w:r>
          </w:p>
        </w:tc>
        <w:tc>
          <w:tcPr>
            <w:tcW w:type="dxa" w:w="1440"/>
          </w:tcPr>
          <w:p>
            <w:r>
              <w:rPr>
                <w:b w:val="0"/>
                <w:i w:val="0"/>
              </w:rPr>
              <w:br/>
            </w:r>
            <w:r>
              <w:rPr>
                <w:b/>
                <w:i w:val="0"/>
              </w:rPr>
              <w:t>Ngày ban hành</w:t>
            </w:r>
          </w:p>
        </w:tc>
        <w:tc>
          <w:tcPr>
            <w:tcW w:type="dxa" w:w="1440"/>
          </w:tcPr>
          <w:p>
            <w:r>
              <w:rPr>
                <w:b w:val="0"/>
                <w:i w:val="0"/>
              </w:rPr>
              <w:br/>
            </w:r>
            <w:r>
              <w:rPr>
                <w:b/>
                <w:i w:val="0"/>
              </w:rPr>
              <w:t>Cơ quan ban hành</w:t>
            </w:r>
          </w:p>
        </w:tc>
        <w:tc>
          <w:tcPr>
            <w:tcW w:type="dxa" w:w="1440"/>
          </w:tcPr>
          <w:p>
            <w:r>
              <w:rPr>
                <w:b w:val="0"/>
                <w:i w:val="0"/>
              </w:rPr>
              <w:br/>
            </w:r>
            <w:r>
              <w:rPr>
                <w:b/>
                <w:i w:val="0"/>
              </w:rPr>
              <w:t>Nội dung trích yếu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