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833-TC/TCT Công văn về việc thuế nhập khẩu xe cứu thương phục vụ cho y tế và xe cứu thương cải tạo thành xe phục vụ cho mục đích khác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