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8397/TC/ĐT Công văn về việc hướng dẫn thanh toán chi phí xây dựng bổ sung do ảnh hưởng của việc tăng giá thép đối với công trình, dự án sử dụng vốn ngân sách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