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83/2007/QĐ-BTC Giá khí ẩm mỏ Bạch Hố</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p>
        </w:tc>
        <w:tc>
          <w:tcPr>
            <w:tcW w:type="dxa" w:w="4320"/>
          </w:tcPr>
          <w:p>
            <w:r>
              <w:rPr>
                <w:b w:val="0"/>
                <w:i w:val="0"/>
              </w:rPr>
              <w:br/>
            </w:r>
            <w:r>
              <w:rPr>
                <w:b/>
                <w:i w:val="0"/>
              </w:rPr>
              <w:t>CỘNG HOÀ XÃ HỘI CHỦ NGHĨA VIỆT NAM</w:t>
            </w:r>
            <w:r>
              <w:rPr>
                <w:b w:val="0"/>
                <w:i w:val="0"/>
              </w:rPr>
              <w:br/>
            </w:r>
            <w:r>
              <w:rPr>
                <w:b/>
                <w:i w:val="0"/>
              </w:rPr>
              <w:t>Độc lập - Tự do - Hạnh phúc</w:t>
            </w:r>
          </w:p>
        </w:tc>
      </w:tr>
    </w:tbl>
    <w:p>
      <w:r>
        <w:rPr>
          <w:b/>
          <w:i w:val="0"/>
        </w:rPr>
        <w:t>QUYẾT ĐỊNH</w:t>
      </w:r>
    </w:p>
    <w:p>
      <w:r>
        <w:rPr>
          <w:b/>
          <w:i w:val="0"/>
        </w:rPr>
        <w:t>Giá khí ẩm mỏ Bạch Hổ</w:t>
      </w:r>
    </w:p>
    <w:p>
      <w:r>
        <w:rPr>
          <w:b/>
          <w:i w:val="0"/>
        </w:rPr>
        <w:t>BỘ TRƯỞNG BỘ TÀI CHÍNH</w:t>
      </w:r>
      <w:r>
        <w:rPr>
          <w:b/>
          <w:i w:val="0"/>
        </w:rPr>
        <w:t xml:space="preserve"> </w:t>
      </w:r>
    </w:p>
    <w:p>
      <w:pPr>
        <w:jc w:val="both"/>
      </w:pPr>
      <w:r>
        <w:rPr>
          <w:b w:val="0"/>
          <w:i w:val="0"/>
        </w:rPr>
        <w:t>Căn cứ Nghị định số 77/2003/NĐ-CP ngày 01/07/2003 của Chính phủ quy định chức năng, nhiệm vụ, quyền hạn và cơ cấu tổ chức của Bộ Tài chính;</w:t>
      </w:r>
    </w:p>
    <w:p>
      <w:pPr>
        <w:jc w:val="both"/>
      </w:pPr>
      <w:r>
        <w:rPr>
          <w:b w:val="0"/>
          <w:i w:val="0"/>
        </w:rPr>
        <w:t>Căn cứ Nghị định số 142/2007/NĐ-CP ngày 5/9/2007 của Chính phủ ban hành quy chế quản lý tài chính của công ty mẹ - Tập đoàn Dầu khí Việt Nam;</w:t>
      </w:r>
    </w:p>
    <w:p>
      <w:pPr>
        <w:jc w:val="both"/>
      </w:pPr>
      <w:r>
        <w:rPr>
          <w:b w:val="0"/>
          <w:i w:val="0"/>
        </w:rPr>
        <w:t>Xét đề nghị của Tổng cục trưởng Tổng cục Thuế,</w:t>
      </w:r>
    </w:p>
    <w:p>
      <w:pPr>
        <w:jc w:val="center"/>
      </w:pPr>
      <w:r>
        <w:rPr>
          <w:b/>
          <w:i w:val="0"/>
        </w:rPr>
        <w:t>QUYẾT ĐỊNH:</w:t>
      </w:r>
    </w:p>
    <w:p>
      <w:pPr>
        <w:jc w:val="both"/>
      </w:pPr>
      <w:r>
        <w:rPr>
          <w:b/>
          <w:i w:val="0"/>
        </w:rPr>
        <w:t xml:space="preserve">Điều 1. </w:t>
      </w:r>
      <w:r>
        <w:rPr>
          <w:b w:val="0"/>
          <w:i w:val="0"/>
        </w:rPr>
        <w:t>Từ ngày 01 tháng 01 năm 2007, Tổng công ty Khí thuộc Tập đoàn Dầu khí Việt Nam phải nộp Ngân sách Nhà nước tiền khí ẩm mỏ Bạch Hổ theo giá 12 UScent/m3. Mức giá này được tính qui đổi và nộp vào Ngân sách Nhà nước bằng đồng Việt Nam theo tỷ giá bình quân liên Ngân hàng do Ngân hàng Nhà nước Việt Nam công bố tại thời điểm kê khai nộp Ngân sách Nhà nước.</w:t>
      </w:r>
    </w:p>
    <w:p>
      <w:pPr>
        <w:jc w:val="both"/>
      </w:pPr>
      <w:r>
        <w:rPr>
          <w:b/>
          <w:i w:val="0"/>
        </w:rPr>
        <w:t xml:space="preserve">Điều 2. </w:t>
      </w:r>
      <w:r>
        <w:rPr>
          <w:b w:val="0"/>
          <w:i w:val="0"/>
        </w:rPr>
        <w:t>Căn cứ vào mức giá qui định tại Điều 1, Tổng công ty thực hiện kê khai nộp Ngân sách Nhà nước như sau:</w:t>
      </w:r>
    </w:p>
    <w:p>
      <w:pPr>
        <w:jc w:val="both"/>
      </w:pPr>
      <w:r>
        <w:rPr>
          <w:b w:val="0"/>
          <w:i w:val="0"/>
        </w:rPr>
        <w:t>- Từ tháng 10 năm 2007 kê khai nộp Ngân sách Nhà nước hàng tháng theo chế độ qui định.</w:t>
      </w:r>
    </w:p>
    <w:p>
      <w:pPr>
        <w:jc w:val="both"/>
      </w:pPr>
      <w:r>
        <w:rPr>
          <w:b w:val="0"/>
          <w:i w:val="0"/>
        </w:rPr>
        <w:t>- Đối với sản lượng khí 9 tháng đầu năm 2007 đã tính nộp Ngân sách Nhà nước và hạch toán kết quả kinh doanh theo giá là 2UScent/m3 thực hiện kê khai nộp bổ sung vào Ngân sách Nhà nước số chênh lệch giữa giá 12 UScent/m3 với giá 2 UScent/m3 trừ (-) số thuế thu nhập doanh nghiệp 28%.</w:t>
      </w:r>
    </w:p>
    <w:p>
      <w:pPr>
        <w:jc w:val="both"/>
      </w:pPr>
      <w:r>
        <w:rPr>
          <w:b w:val="0"/>
          <w:i w:val="0"/>
        </w:rPr>
        <w:t>(Số phải nộp = sản lượng khí 9 tháng nhân(x) 10UScent/m3 nhân(x)72%)</w:t>
      </w:r>
    </w:p>
    <w:p>
      <w:pPr>
        <w:jc w:val="both"/>
      </w:pPr>
      <w:r>
        <w:rPr>
          <w:b w:val="0"/>
          <w:i w:val="0"/>
        </w:rPr>
        <w:t>Nguồn nộp từ thu nhập sau thuế thu nhập doanh nghiệp 9 tháng đầu năm 2007.</w:t>
      </w:r>
    </w:p>
    <w:p>
      <w:pPr>
        <w:jc w:val="both"/>
      </w:pPr>
      <w:r>
        <w:rPr>
          <w:b/>
          <w:i w:val="0"/>
        </w:rPr>
        <w:t xml:space="preserve">Điều 3. </w:t>
      </w:r>
      <w:r>
        <w:rPr>
          <w:b w:val="0"/>
          <w:i w:val="0"/>
        </w:rPr>
        <w:t>Quyết định này có hiệu lực thi hành sau 15 ngày kể từ ngày đăng Công báo. Cục trưởng Cục Quản lý Giá, Tổng cục trưởng Tổng cục Thuế, Chánh Văn phòng  Bộ Tài chính, Tập đoàn Dầu khí Việt Nam, Tổng công ty Khí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rPr>
                <w:b w:val="0"/>
                <w:i w:val="0"/>
              </w:rPr>
              <w:br/>
            </w:r>
            <w:r>
              <w:rPr>
                <w:b/>
                <w:i w:val="0"/>
              </w:rPr>
              <w:t>THỨ TRƯỞNG</w:t>
            </w:r>
            <w:r>
              <w:rPr>
                <w:b w:val="0"/>
                <w:i w:val="0"/>
              </w:rPr>
              <w:br/>
            </w:r>
            <w:r>
              <w:rPr>
                <w:b/>
                <w:i w:val="0"/>
              </w:rPr>
              <w:t>(Đã ký)</w:t>
            </w:r>
            <w:r>
              <w:rPr>
                <w:b w:val="0"/>
                <w:i w:val="0"/>
              </w:rPr>
              <w:br/>
            </w:r>
            <w:r>
              <w:rPr>
                <w:b w:val="0"/>
                <w:i w:val="0"/>
              </w:rPr>
              <w:br/>
            </w:r>
            <w:r>
              <w:rPr>
                <w:b/>
                <w:i w:val="0"/>
              </w:rPr>
              <w:t>Trương Chí Trung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