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858/2006/QĐ-BTC Về việc công bố danh sách tổ chức định giá được phép cung cấp dịch vụ xác định giá trị doanh nghiệp năm 2006 (đợt 2/2006)</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công bố danh sách tổ chức định giá được phép cung cấp dịch vụ xác định giá trị doanh nghiệp năm 2006 (đợt 2/2006)</w:t>
      </w:r>
    </w:p>
    <w:p>
      <w:pPr>
        <w:jc w:val="center"/>
      </w:pPr>
      <w:r>
        <w:rPr>
          <w:b/>
          <w:i w:val="0"/>
        </w:rPr>
        <w:t>------------------------</w:t>
      </w:r>
    </w:p>
    <w:p>
      <w:pPr>
        <w:jc w:val="center"/>
      </w:pPr>
      <w:r>
        <w:rPr>
          <w:b/>
          <w:i w:val="0"/>
        </w:rPr>
        <w:t>BỘ TRƯỞNG BỘ TÀI CHÍNH</w:t>
      </w:r>
    </w:p>
    <w:p>
      <w:pPr>
        <w:jc w:val="both"/>
      </w:pPr>
      <w:r>
        <w:rPr>
          <w:b w:val="0"/>
          <w:i/>
        </w:rPr>
        <w:t>Căn cứ Nghị định số 77/2003/NĐ-CP ngày 01/7/2003 của Chính phủ quy định chức năng, nhiệm vụ, quyền hạn và cơ cấu tổ chức của Bộ Tài chính;</w:t>
      </w:r>
      <w:r>
        <w:br/>
      </w:r>
      <w:r>
        <w:rPr>
          <w:b w:val="0"/>
          <w:i/>
        </w:rPr>
        <w:br/>
        <w:t xml:space="preserve">     Căn cứ Nghị định số 187/2004/NĐ-CP ngày 16 tháng 11 năm 2004 của Chính phủ về việc chuyển công ty nhà nước thành công ty cổ phần;</w:t>
      </w:r>
      <w:r>
        <w:br/>
      </w:r>
      <w:r>
        <w:rPr>
          <w:b w:val="0"/>
          <w:i/>
        </w:rPr>
        <w:br/>
        <w:t xml:space="preserve">     Căn cứ Thông tư số 126/2004/TT-BTC ngày 24 tháng 12 năm 2004 của Bộ Tài chính hướng dẫn Nghị định số 187/2004/NĐ-CP ngày 16 tháng 11 năm 2004 của Chính phủ về chuyển công ty nhà nước thành công ty cổ phần;</w:t>
      </w:r>
      <w:r>
        <w:br/>
      </w:r>
      <w:r>
        <w:rPr>
          <w:b w:val="0"/>
          <w:i/>
        </w:rPr>
        <w:br/>
        <w:t xml:space="preserve">     Theo đề nghị của Vụ trưởng Vụ Tài chính các ngân hàng và tổ chức tài chính.</w:t>
      </w:r>
    </w:p>
    <w:p>
      <w:pPr>
        <w:jc w:val="center"/>
      </w:pPr>
      <w:r>
        <w:rPr>
          <w:b/>
          <w:i w:val="0"/>
        </w:rPr>
        <w:t>QUYẾT ĐỊNH:</w:t>
      </w:r>
    </w:p>
    <w:p>
      <w:pPr>
        <w:jc w:val="both"/>
      </w:pPr>
      <w:r>
        <w:rPr>
          <w:b/>
          <w:i w:val="0"/>
        </w:rPr>
        <w:t xml:space="preserve">Điều 1. </w:t>
      </w:r>
      <w:r>
        <w:rPr>
          <w:b w:val="0"/>
          <w:i w:val="0"/>
        </w:rPr>
        <w:t>Công bố kèm theo Quyết định này “Danh sách tổ chức định giá được phép cung cấp dịch vụ xác định giá trị doanh nghiệp năm 2006 (đợt 2)”.</w:t>
      </w:r>
    </w:p>
    <w:p>
      <w:pPr>
        <w:jc w:val="both"/>
      </w:pPr>
      <w:r>
        <w:rPr>
          <w:b/>
          <w:i w:val="0"/>
        </w:rPr>
        <w:t xml:space="preserve">Điều 2. </w:t>
      </w:r>
      <w:r>
        <w:rPr>
          <w:b w:val="0"/>
          <w:i w:val="0"/>
        </w:rPr>
        <w:t>Các tổ chức định giá có tên trong danh sách công bố tại Điều 1 Quyết định này được cung cấp dịch vụ xác định giá trị doanh nghiệp theo quy định tại Nghị định số 187/2004/NĐ-CP ngày 16 tháng 11 năm 2004 của Chính phủ về việc chuyển công ty nhà nước thành công ty cổ phần.</w:t>
      </w:r>
    </w:p>
    <w:p>
      <w:pPr>
        <w:jc w:val="both"/>
      </w:pPr>
      <w:r>
        <w:rPr>
          <w:b/>
          <w:i w:val="0"/>
        </w:rPr>
        <w:t xml:space="preserve">Điều 3. </w:t>
      </w:r>
      <w:r>
        <w:rPr>
          <w:b w:val="0"/>
          <w:i w:val="0"/>
        </w:rPr>
        <w:t>Quyết định này có hiệu lực kể từ ngày ký. Chủ tịch Ủy ban nhân dân các tỉnh, thành phố thuộc Trung ương, các Bộ, cơ quan ngang Bộ, các Tổng công ty nhà nước, các tổ chức định giá và Thủ tướng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rPr>
                <w:b w:val="0"/>
                <w:i w:val="0"/>
              </w:rPr>
              <w:br/>
            </w:r>
            <w:r>
              <w:rPr>
                <w:b/>
                <w:i w:val="0"/>
              </w:rPr>
              <w:t>(đã ký)</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