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85/2004/QĐ-BTC Về giao dự toán thu, chi ngân sách nhà nước năm 2005</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85/2004/QĐ-BTC</w:t>
        <w:br/>
        <w:t xml:space="preserve">     </w:t>
      </w:r>
      <w:r>
        <w:rPr>
          <w:b w:val="0"/>
          <w:i w:val="0"/>
        </w:rPr>
        <w:br/>
      </w:r>
      <w:r>
        <w:rPr>
          <w:b w:val="0"/>
          <w:i/>
        </w:rPr>
        <w:br/>
        <w:t xml:space="preserve">      Hà Nội, ngày 17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85/2004/QĐ-BTC</w:t>
        <w:br/>
        <w:t xml:space="preserve">     </w:t>
      </w:r>
      <w:r>
        <w:rPr>
          <w:b w:val="0"/>
          <w:i w:val="0"/>
        </w:rPr>
        <w:br/>
      </w:r>
      <w:r>
        <w:rPr>
          <w:b w:val="0"/>
          <w:i/>
        </w:rPr>
        <w:br/>
        <w:t xml:space="preserve">      Hà Nội, ngày 17 tháng 11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85/2004/QĐ-BTC</w:t>
        <w:br/>
        <w:t xml:space="preserve">     </w:t>
      </w:r>
      <w:r>
        <w:rPr>
          <w:b w:val="0"/>
          <w:i w:val="0"/>
        </w:rPr>
        <w:br/>
      </w:r>
      <w:r>
        <w:rPr>
          <w:b w:val="0"/>
          <w:i/>
        </w:rPr>
        <w:br/>
        <w:t xml:space="preserve">      Hà Nội, ngày 17 tháng 11 năm 2004</w:t>
        <w:br/>
        <w:t xml:space="preserve">     </w:t>
      </w:r>
      <w:r>
        <w:rPr>
          <w:b w:val="0"/>
          <w:i w:val="0"/>
        </w:rPr>
        <w:br/>
      </w:r>
    </w:p>
    <w:p>
      <w:pPr>
        <w:jc w:val="center"/>
      </w:pPr>
      <w:r>
        <w:rPr>
          <w:b w:val="0"/>
          <w:i w:val="0"/>
        </w:rPr>
        <w:br/>
        <w:t xml:space="preserve">      Số: 85/2004/QĐ-BTC</w:t>
        <w:br/>
        <w:t xml:space="preserve">     </w:t>
      </w:r>
    </w:p>
    <w:p>
      <w:pPr>
        <w:jc w:val="center"/>
      </w:pPr>
      <w:r>
        <w:rPr>
          <w:b w:val="0"/>
          <w:i w:val="0"/>
        </w:rPr>
        <w:br/>
        <w:t xml:space="preserve">      Hà Nội, ngày 17 tháng 11 năm 2004</w:t>
        <w:br/>
        <w:t xml:space="preserve">     </w:t>
      </w:r>
    </w:p>
    <w:p>
      <w:r>
        <w:rPr>
          <w:b/>
          <w:i w:val="0"/>
        </w:rPr>
        <w:t xml:space="preserve">QUYẾT ĐỊNH CỦA BỘ TRƯỞNG BỘ TÀI CHÍNH </w:t>
      </w:r>
    </w:p>
    <w:p>
      <w:r>
        <w:rPr>
          <w:b/>
          <w:i w:val="0"/>
        </w:rPr>
        <w:t>Về giao dự toán thu, chi ngân sách nhà nước năm 2005</w:t>
      </w:r>
    </w:p>
    <w:p>
      <w:r>
        <w:rPr>
          <w:b w:val="0"/>
          <w:i w:val="0"/>
        </w:rPr>
        <w:t>_____________________________</w:t>
      </w:r>
    </w:p>
    <w:p>
      <w:r>
        <w:rPr>
          <w:b w:val="0"/>
          <w:i w:val="0"/>
        </w:rPr>
        <w:t xml:space="preserve"> </w:t>
      </w:r>
      <w:r>
        <w:rPr>
          <w:b w:val="0"/>
          <w:i/>
        </w:rPr>
        <w:t>Căn cứ Nghị quyết số 33/2004/QH11 ngày 09 tháng 11 năm 2004 của Quốc hội khoá XI, kỳ họp thứ sáu về dự toán ngân sách nhà nước năm 2005;</w:t>
      </w:r>
    </w:p>
    <w:p>
      <w:r>
        <w:rPr>
          <w:b w:val="0"/>
          <w:i/>
        </w:rPr>
        <w:t>Căn cứ Nghị quyết số 34/2004/QH11 ngày 11 tháng 11 năm 2004 của Quốc hội khoá XI, kỳ họp thứ sáu về phân bổ ngân sách trung ương năm 2005;</w:t>
      </w:r>
    </w:p>
    <w:p>
      <w:r>
        <w:rPr>
          <w:b w:val="0"/>
          <w:i/>
        </w:rPr>
        <w:t>Căn cứ Quyết định số 194/2004/QĐ-TTg ngày 17 tháng 11 năm 2004 của Thủ tướng Chính phủ về giao dự toán ngân sách nhà nước năm 2005;</w:t>
      </w:r>
    </w:p>
    <w:p>
      <w:r>
        <w:rPr>
          <w:b/>
          <w:i w:val="0"/>
        </w:rPr>
        <w:t>QUYẾT ĐỊNH:</w:t>
      </w:r>
    </w:p>
    <w:p>
      <w:r>
        <w:rPr>
          <w:b/>
          <w:i w:val="0"/>
        </w:rPr>
        <w:t xml:space="preserve">Điều 1. </w:t>
      </w:r>
      <w:r>
        <w:rPr>
          <w:b w:val="0"/>
          <w:i w:val="0"/>
        </w:rPr>
        <w:t>Giao các Bộ, cơ quan ngang Bộ, cơ quan thuộc Chính phủ, cơ quan khác ở Trung ương, Tổng công ty 91 chỉ tiêu dự toán thu, chi ngân sách nhà nước năm 2005 (theo biểu đính kèm), bao gồm cả các khoản đã ứng trước theo quyết định của cấp có thẩm quyền phải thu hồi vào năm 2005.</w:t>
      </w:r>
    </w:p>
    <w:p>
      <w:r>
        <w:rPr>
          <w:b/>
          <w:i w:val="0"/>
        </w:rPr>
        <w:t xml:space="preserve">Điều 2. </w:t>
      </w:r>
      <w:r>
        <w:rPr>
          <w:b w:val="0"/>
          <w:i w:val="0"/>
        </w:rPr>
        <w:t>Căn cứ dự toán thu, chi ngân sách nhà nước năm 2005 được giao, Bộ trưởng các Bộ, Thủ trưởng cơ quan ngang Bộ, Thủ trưởng cơ quan thuộc Chính phủ, cơ quan khác ở Trung ương phân bổ dự toán thu, chi ngân sách nhà nước cho các đơn vị trực thuộc, đơn vị cấp dưới, trong đó bố trí đảm bảo nguồn thực hiện phương án cải cách tiền lương năm 2005 như sau:</w:t>
      </w:r>
    </w:p>
    <w:p>
      <w:r>
        <w:rPr>
          <w:b w:val="0"/>
          <w:i w:val="0"/>
        </w:rPr>
        <w:t>- Thực hiện tiết kiệm 10% số chi thường xuyên (trừ tiền lương và các khoản có tính chất lương). - Đối với các đơn vị sự nghiệp có thu (bao gồm cả các đơn vị đã thực hiện cơ chế tài chính theo Nghị định số 10/2002/NĐ-CP ngày 16/01/2002 của Chính phủ) sử dụng mức tối thiểu 40% (riêng ngành y tế sử dụng tối thiểu 35% - không bao gồm tiền thuốc, máu và dịch truyền) số thu để lại theo chế độ. - Cơ quan hành chính có nguồn thu được để lại theo chế độ, sử dụng tối thiểu 40% số thu để thực hiện cải cách tiền lương năm 2005.</w:t>
      </w:r>
    </w:p>
    <w:p>
      <w:r>
        <w:rPr>
          <w:b/>
          <w:i w:val="0"/>
        </w:rPr>
        <w:t xml:space="preserve">Điều 3. </w:t>
      </w:r>
      <w:r>
        <w:rPr>
          <w:b w:val="0"/>
          <w:i w:val="0"/>
        </w:rPr>
        <w:t>Bộ trưởng các Bộ, Thủ trưởng cơ quan ngang Bộ, Thủ trưởng cơ quan thuộc Chính phủ, cơ quan khác ở Trung ương và Tổng giám đốc các Tổng công ty 91 chịu trách nhiệm tổ chức thực hiện dự toán thu, chi ngân sách nhà nước được giao theo đúng quy định của Luật Ngân sách nhà nước.</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