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86/2005/QĐ-TTg Về việc điều chỉnh Đề án sắp xếp, đổi mới công ty nhà nước trực thuộc Tổng công ty Xi măng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86/2005/QĐ-TTg</w:t>
      </w:r>
      <w:r>
        <w:rPr>
          <w:b w:val="0"/>
          <w:i w:val="0"/>
        </w:rPr>
        <w:br/>
      </w:r>
      <w:r>
        <w:rPr>
          <w:b w:val="0"/>
          <w:i w:val="0"/>
        </w:rPr>
        <w:br/>
      </w:r>
      <w:r>
        <w:rPr>
          <w:b w:val="0"/>
          <w:i/>
        </w:rPr>
        <w:br/>
      </w:r>
      <w:r>
        <w:rPr>
          <w:b w:val="0"/>
          <w:i/>
        </w:rPr>
        <w:t>Hà Nội, ngày 22 tháng 4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86/2005/QĐ-TTg</w:t>
      </w:r>
      <w:r>
        <w:rPr>
          <w:b w:val="0"/>
          <w:i w:val="0"/>
        </w:rPr>
        <w:br/>
      </w:r>
      <w:r>
        <w:rPr>
          <w:b w:val="0"/>
          <w:i w:val="0"/>
        </w:rPr>
        <w:br/>
      </w:r>
      <w:r>
        <w:rPr>
          <w:b w:val="0"/>
          <w:i/>
        </w:rPr>
        <w:br/>
      </w:r>
      <w:r>
        <w:rPr>
          <w:b w:val="0"/>
          <w:i/>
        </w:rPr>
        <w:t>Hà Nội, ngày 22 tháng 4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86/2005/QĐ-TTg</w:t>
      </w:r>
      <w:r>
        <w:rPr>
          <w:b w:val="0"/>
          <w:i w:val="0"/>
        </w:rPr>
        <w:br/>
      </w:r>
      <w:r>
        <w:rPr>
          <w:b w:val="0"/>
          <w:i w:val="0"/>
        </w:rPr>
        <w:br/>
      </w:r>
      <w:r>
        <w:rPr>
          <w:b w:val="0"/>
          <w:i/>
        </w:rPr>
        <w:br/>
      </w:r>
      <w:r>
        <w:rPr>
          <w:b w:val="0"/>
          <w:i/>
        </w:rPr>
        <w:t>Hà Nội, ngày 22 tháng 4 năm 2005</w:t>
      </w:r>
      <w:r>
        <w:rPr>
          <w:b w:val="0"/>
          <w:i/>
        </w:rPr>
        <w:br/>
      </w:r>
      <w:r>
        <w:rPr>
          <w:b w:val="0"/>
          <w:i w:val="0"/>
        </w:rPr>
        <w:br/>
      </w:r>
    </w:p>
    <w:p>
      <w:pPr>
        <w:jc w:val="center"/>
      </w:pPr>
      <w:r>
        <w:rPr>
          <w:b w:val="0"/>
          <w:i w:val="0"/>
        </w:rPr>
        <w:br/>
      </w:r>
      <w:r>
        <w:rPr>
          <w:b w:val="0"/>
          <w:i w:val="0"/>
        </w:rPr>
        <w:t>Số: 86/2005/QĐ-TTg</w:t>
      </w:r>
      <w:r>
        <w:rPr>
          <w:b w:val="0"/>
          <w:i w:val="0"/>
        </w:rPr>
        <w:br/>
      </w:r>
    </w:p>
    <w:p>
      <w:pPr>
        <w:jc w:val="center"/>
      </w:pPr>
      <w:r>
        <w:rPr>
          <w:b w:val="0"/>
          <w:i w:val="0"/>
        </w:rPr>
        <w:br/>
      </w:r>
      <w:r>
        <w:rPr>
          <w:b w:val="0"/>
          <w:i w:val="0"/>
        </w:rPr>
        <w:t>Hà Nội, ngày 22 tháng 4 năm 2005</w:t>
      </w:r>
      <w:r>
        <w:rPr>
          <w:b w:val="0"/>
          <w:i w:val="0"/>
        </w:rPr>
        <w:br/>
      </w:r>
    </w:p>
    <w:p>
      <w:r>
        <w:rPr>
          <w:b/>
          <w:i w:val="0"/>
        </w:rPr>
        <w:t>QUYẾT ĐỊNH</w:t>
      </w:r>
    </w:p>
    <w:p>
      <w:r>
        <w:rPr>
          <w:b/>
          <w:i w:val="0"/>
        </w:rPr>
        <w:t xml:space="preserve">Về việc điều chỉnh Đề án sắp xếp, đổi mới công ty nhà nước </w:t>
      </w:r>
      <w:r>
        <w:rPr>
          <w:b/>
          <w:i w:val="0"/>
        </w:rPr>
        <w:t>trực thuộc Tổng công ty Xi măng Việt Nam</w:t>
      </w:r>
    </w:p>
    <w:p>
      <w:r>
        <w:rPr>
          <w:b/>
          <w:i w:val="0"/>
        </w:rPr>
        <w:t>THỦ TƯỚNG CHÍNH PHỦ</w:t>
      </w:r>
    </w:p>
    <w:p>
      <w:r>
        <w:rPr>
          <w:b w:val="0"/>
          <w:i/>
        </w:rPr>
        <w:t>Căn cứ Luật Tổ chức Chính phủ ngày 25 tháng 12 năm 2001;</w:t>
      </w:r>
    </w:p>
    <w:p>
      <w:r>
        <w:rPr>
          <w:b w:val="0"/>
          <w:i/>
        </w:rPr>
        <w:t>Căn cứ Quyết định số 155/2004/QĐ-TTg ngày 24 tháng 08 năm 2004 của Thủ tướng Chính phủ về ban hành tiêu chí, danh mục phân loại công ty nhà nước và công ty thành viên hạch toán độc lập thuộc Tổng công ty nhà nước;</w:t>
      </w:r>
    </w:p>
    <w:p>
      <w:r>
        <w:rPr>
          <w:b w:val="0"/>
          <w:i/>
        </w:rPr>
        <w:t>Xét đề nghị của Bộ Xây dựng và Hội đồng quản trị Tổng công ty Xi măng Việt Nam,</w:t>
      </w:r>
    </w:p>
    <w:p>
      <w:r>
        <w:rPr>
          <w:b/>
          <w:i w:val="0"/>
        </w:rPr>
        <w:t>QUYẾT ĐỊNH:</w:t>
      </w:r>
    </w:p>
    <w:p>
      <w:r>
        <w:rPr>
          <w:b/>
          <w:i w:val="0"/>
        </w:rPr>
        <w:t>Điều 1.</w:t>
      </w:r>
      <w:r>
        <w:rPr>
          <w:b w:val="0"/>
          <w:i w:val="0"/>
        </w:rPr>
        <w:t xml:space="preserve"> Điều chỉnh đề án sắp xếp, đổi mới công ty nhà nước trực thuộc Tổng công ty Xi măng Việt Nam như phụ lục kèm theo.</w:t>
      </w:r>
    </w:p>
    <w:p>
      <w:r>
        <w:rPr>
          <w:b/>
          <w:i w:val="0"/>
        </w:rPr>
        <w:t xml:space="preserve">Điều 2. </w:t>
      </w:r>
      <w:r>
        <w:rPr>
          <w:b w:val="0"/>
          <w:i w:val="0"/>
        </w:rPr>
        <w:t>Bộ trưởng Bộ Xây dựng:</w:t>
      </w:r>
    </w:p>
    <w:p>
      <w:r>
        <w:rPr>
          <w:b w:val="0"/>
          <w:i w:val="0"/>
        </w:rPr>
        <w:t>1. Chỉ đạo Hội đồng quản trị Tổng công ty Xi măng Việt Nam thực hiện việc sắp xếp, đổi mới công ty nhà nước trực thuộc Tổng công ty Xi măng Việt Nam theo đúng nội dung và tiến độ của Quyết định này.</w:t>
      </w:r>
    </w:p>
    <w:p>
      <w:r>
        <w:rPr>
          <w:b w:val="0"/>
          <w:i w:val="0"/>
        </w:rPr>
        <w:t>2. Chỉ đạo Tổng công ty Xi măng Việt Nam hoàn thiện Đề án hình thành Công ty mẹ - Công ty con để phát triển thành Tập đoàn Công nghiệp xi măng Việt Nam với ngành nghề kinh doanh chính là xi măng, vật liệu xây dựng, cơ khí xây dựng, trình Thủ tướng chính phủ phê duyệt trong quý III năm 2005.</w:t>
      </w:r>
    </w:p>
    <w:p>
      <w:r>
        <w:rPr>
          <w:b/>
          <w:i w:val="0"/>
        </w:rPr>
        <w:t xml:space="preserve">Điều 3. </w:t>
      </w:r>
      <w:r>
        <w:rPr>
          <w:b w:val="0"/>
          <w:i w:val="0"/>
        </w:rPr>
        <w:t>Bộ Tài chính chủ trì, phối hợp với các cơ quan liên quan hướng dẫn việc cơ cấu lại tài chính của các Công ty Xi măng: Hoàng Mai, Tam Điệp, Hải Phòng và hướng dẫn việc cổ phần hóa các nhà máy Xi măng đúng quy định hiện hành và đem lại hiệu quả cao nhất.</w:t>
      </w:r>
    </w:p>
    <w:p>
      <w:r>
        <w:rPr>
          <w:b/>
          <w:i w:val="0"/>
        </w:rPr>
        <w:t xml:space="preserve">Điều 4. </w:t>
      </w:r>
      <w:r>
        <w:rPr>
          <w:b w:val="0"/>
          <w:i w:val="0"/>
        </w:rPr>
        <w:t>Quyết định này có hiệu lực sau 15 ngày, kể từ ngày đăng Công báo.</w:t>
      </w:r>
    </w:p>
    <w:p>
      <w:r>
        <w:rPr>
          <w:b w:val="0"/>
          <w:i w:val="0"/>
        </w:rPr>
        <w:t>Bộ trưởng Bộ Xây dựng, Hội đồng quản trị Tổng công ty Xi măng Việt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