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87/2004/QĐ-UB Về Phê duyệt Phương án hoạt động kinh doanh theo mô hình thị trường chung khu vực miền Trung của Công ty Xổ số Kiến thiết tỉnh Quảng Bình</w:t>
      </w:r>
    </w:p>
    <w:p>
      <w:r>
        <w:rPr>
          <w:b w:val="0"/>
          <w:i w:val="0"/>
        </w:rPr>
        <w:br/>
      </w:r>
      <w:r>
        <w:rPr>
          <w:b w:val="0"/>
          <w:i w:val="0"/>
        </w:rPr>
        <w:br/>
      </w:r>
      <w:r>
        <w:rPr>
          <w:b/>
          <w:i w:val="0"/>
        </w:rPr>
        <w:br/>
      </w:r>
      <w:r>
        <w:rPr>
          <w:b/>
          <w:i w:val="0"/>
        </w:rPr>
        <w:br/>
      </w:r>
      <w:r>
        <w:rPr>
          <w:b/>
          <w:i w:val="0"/>
        </w:rPr>
        <w:t xml:space="preserve">UỶ BAN NHÂN DÂN  </w:t>
      </w:r>
      <w:r>
        <w:rPr>
          <w:b/>
          <w:i w:val="0"/>
        </w:rPr>
        <w:br/>
      </w:r>
      <w:r>
        <w:br/>
      </w:r>
      <w:r>
        <w:rPr>
          <w:b/>
          <w:i w:val="0"/>
        </w:rPr>
        <w:t>TỈNH QUẢNG BÌNH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87/2004/QĐ-UB</w:t>
      </w:r>
      <w:r>
        <w:rPr>
          <w:b w:val="0"/>
          <w:i w:val="0"/>
        </w:rPr>
        <w:br/>
      </w:r>
      <w:r>
        <w:rPr>
          <w:b w:val="0"/>
          <w:i w:val="0"/>
        </w:rPr>
        <w:br/>
      </w:r>
      <w:r>
        <w:rPr>
          <w:b w:val="0"/>
          <w:i/>
        </w:rPr>
        <w:br/>
      </w:r>
      <w:r>
        <w:rPr>
          <w:b w:val="0"/>
          <w:i/>
        </w:rPr>
        <w:t>Đồng Hới, ngày 09 tháng 12 năm 2004</w:t>
      </w:r>
      <w:r>
        <w:rPr>
          <w:b w:val="0"/>
          <w:i/>
        </w:rPr>
        <w:br/>
      </w:r>
      <w:r>
        <w:rPr>
          <w:b w:val="0"/>
          <w:i w:val="0"/>
        </w:rPr>
        <w:br/>
      </w:r>
      <w:r>
        <w:rPr>
          <w:b w:val="0"/>
          <w:i w:val="0"/>
        </w:rPr>
        <w:br/>
      </w:r>
    </w:p>
    <w:p>
      <w:r>
        <w:rPr>
          <w:b w:val="0"/>
          <w:i w:val="0"/>
        </w:rPr>
        <w:br/>
      </w:r>
      <w:r>
        <w:rPr>
          <w:b/>
          <w:i w:val="0"/>
        </w:rPr>
        <w:br/>
      </w:r>
      <w:r>
        <w:rPr>
          <w:b/>
          <w:i w:val="0"/>
        </w:rPr>
        <w:br/>
      </w:r>
      <w:r>
        <w:rPr>
          <w:b/>
          <w:i w:val="0"/>
        </w:rPr>
        <w:t xml:space="preserve">UỶ BAN NHÂN DÂN  </w:t>
      </w:r>
      <w:r>
        <w:rPr>
          <w:b/>
          <w:i w:val="0"/>
        </w:rPr>
        <w:br/>
      </w:r>
      <w:r>
        <w:br/>
      </w:r>
      <w:r>
        <w:rPr>
          <w:b/>
          <w:i w:val="0"/>
        </w:rPr>
        <w:t>TỈNH QUẢNG BÌNH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UỶ BAN NHÂN DÂN  </w:t>
      </w:r>
      <w:r>
        <w:rPr>
          <w:b w:val="0"/>
          <w:i w:val="0"/>
        </w:rPr>
        <w:br/>
      </w:r>
      <w:r>
        <w:br/>
      </w:r>
      <w:r>
        <w:rPr>
          <w:b w:val="0"/>
          <w:i w:val="0"/>
        </w:rPr>
        <w:t>TỈNH QUẢNG BÌNH</w:t>
      </w:r>
      <w:r>
        <w:rPr>
          <w:b w:val="0"/>
          <w:i w:val="0"/>
        </w:rPr>
        <w:br/>
      </w:r>
      <w:r>
        <w:rPr>
          <w:b w:val="0"/>
          <w:i w:val="0"/>
        </w:rPr>
        <w:br/>
      </w:r>
      <w:r>
        <w:rPr>
          <w:b w:val="0"/>
          <w:i w:val="0"/>
        </w:rPr>
        <w:br/>
      </w:r>
    </w:p>
    <w:p>
      <w:r>
        <w:rPr>
          <w:b w:val="0"/>
          <w:i w:val="0"/>
        </w:rPr>
        <w:br/>
      </w:r>
      <w:r>
        <w:rPr>
          <w:b w:val="0"/>
          <w:i w:val="0"/>
        </w:rPr>
        <w:t xml:space="preserve">UỶ BAN NHÂN DÂN  </w:t>
      </w:r>
      <w:r>
        <w:rPr>
          <w:b w:val="0"/>
          <w:i w:val="0"/>
        </w:rPr>
        <w:br/>
      </w:r>
      <w:r>
        <w:br/>
      </w:r>
      <w:r>
        <w:rPr>
          <w:b w:val="0"/>
          <w:i w:val="0"/>
        </w:rPr>
        <w:t>TỈNH QUẢNG BÌNH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87/2004/QĐ-UB</w:t>
      </w:r>
      <w:r>
        <w:rPr>
          <w:b w:val="0"/>
          <w:i w:val="0"/>
        </w:rPr>
        <w:br/>
      </w:r>
      <w:r>
        <w:rPr>
          <w:b w:val="0"/>
          <w:i w:val="0"/>
        </w:rPr>
        <w:br/>
      </w:r>
      <w:r>
        <w:rPr>
          <w:b w:val="0"/>
          <w:i/>
        </w:rPr>
        <w:br/>
      </w:r>
      <w:r>
        <w:rPr>
          <w:b w:val="0"/>
          <w:i/>
        </w:rPr>
        <w:t>Đồng Hới, ngày 09 tháng 12 năm 2004</w:t>
      </w:r>
      <w:r>
        <w:rPr>
          <w:b w:val="0"/>
          <w:i/>
        </w:rPr>
        <w:br/>
      </w:r>
      <w:r>
        <w:rPr>
          <w:b w:val="0"/>
          <w:i w:val="0"/>
        </w:rPr>
        <w:br/>
      </w:r>
    </w:p>
    <w:p>
      <w:pPr>
        <w:jc w:val="center"/>
      </w:pPr>
      <w:r>
        <w:rPr>
          <w:b w:val="0"/>
          <w:i w:val="0"/>
        </w:rPr>
        <w:br/>
      </w:r>
      <w:r>
        <w:rPr>
          <w:b w:val="0"/>
          <w:i w:val="0"/>
        </w:rPr>
        <w:t>Số: 87/2004/QĐ-UB</w:t>
      </w:r>
      <w:r>
        <w:rPr>
          <w:b w:val="0"/>
          <w:i w:val="0"/>
        </w:rPr>
        <w:br/>
      </w:r>
    </w:p>
    <w:p>
      <w:pPr>
        <w:jc w:val="center"/>
      </w:pPr>
      <w:r>
        <w:rPr>
          <w:b w:val="0"/>
          <w:i w:val="0"/>
        </w:rPr>
        <w:br/>
      </w:r>
      <w:r>
        <w:rPr>
          <w:b w:val="0"/>
          <w:i w:val="0"/>
        </w:rPr>
        <w:t>Đồng Hới, ngày 09 tháng 12 năm 2004</w:t>
      </w:r>
      <w:r>
        <w:rPr>
          <w:b w:val="0"/>
          <w:i w:val="0"/>
        </w:rPr>
        <w:br/>
      </w:r>
    </w:p>
    <w:p>
      <w:pPr>
        <w:jc w:val="center"/>
      </w:pPr>
      <w:r>
        <w:rPr>
          <w:b/>
          <w:i w:val="0"/>
        </w:rPr>
        <w:t>QUYẾT ĐỊNH CỦA ỦY BAN NHÂN DÂN TỈNH</w:t>
      </w:r>
    </w:p>
    <w:p>
      <w:pPr>
        <w:jc w:val="center"/>
      </w:pPr>
      <w:r>
        <w:rPr>
          <w:b/>
          <w:i w:val="0"/>
        </w:rPr>
        <w:t>Về Phê duyệt Phương án hoạt động kinh doanh theo mô hình thị trường</w:t>
      </w:r>
    </w:p>
    <w:p>
      <w:pPr>
        <w:jc w:val="center"/>
      </w:pPr>
      <w:r>
        <w:rPr>
          <w:b/>
          <w:i w:val="0"/>
        </w:rPr>
        <w:t>chung khu vực miền Trung của Công ty Xổ số Kiến thiết tỉnh Quảng Bình</w:t>
      </w:r>
    </w:p>
    <w:p>
      <w:pPr>
        <w:jc w:val="center"/>
      </w:pPr>
      <w:r>
        <w:rPr>
          <w:b w:val="0"/>
          <w:i w:val="0"/>
        </w:rPr>
        <w:t>_____________________________________</w:t>
      </w:r>
    </w:p>
    <w:p>
      <w:pPr>
        <w:jc w:val="center"/>
      </w:pPr>
      <w:r>
        <w:rPr>
          <w:b w:val="0"/>
          <w:i w:val="0"/>
        </w:rPr>
        <w:t>UỶ BAN NHÂN DÂN TỈNH QUẢNG BÌNH</w:t>
      </w:r>
    </w:p>
    <w:p>
      <w:r>
        <w:rPr>
          <w:b w:val="0"/>
          <w:i/>
        </w:rPr>
        <w:t>- Căn cứ Luật  tổ chức Hội đồng nhân dân và Uỷ ban nhân dân ngày 26/11/2003;</w:t>
      </w:r>
    </w:p>
    <w:p>
      <w:r>
        <w:rPr>
          <w:b w:val="0"/>
          <w:i/>
        </w:rPr>
        <w:t>- Căn cứ Quyết định số 246/QĐ-TTg, ngày 10/03/2002 của Thủ tướng Chính phủ về việc "Phê duyệt phương án tổng thể sắp đổi mới DNNN tỉnh Quảng Bình giai đoạn 2003-2005";</w:t>
      </w:r>
    </w:p>
    <w:p>
      <w:r>
        <w:rPr>
          <w:b w:val="0"/>
          <w:i/>
        </w:rPr>
        <w:t>- Căn cứ Thông báo số 451/TB-TU, ngày 25/6/2002 của Thường vụ Tỉnh ủy về Đề án "Tiếp tục sắp xếp, đổi mới, phát triển và nâng cao hiệu quả DNNN tỉnh Quảng Bình";</w:t>
      </w:r>
    </w:p>
    <w:p>
      <w:r>
        <w:rPr>
          <w:b w:val="0"/>
          <w:i/>
        </w:rPr>
        <w:t>- Căn cứ Đề án mở rộng thị trường xổ số khu vực miền Bắc và miền Trung ngày 25/6/2004 của Bộ Tài chính;</w:t>
      </w:r>
    </w:p>
    <w:p>
      <w:r>
        <w:rPr>
          <w:b w:val="0"/>
          <w:i/>
        </w:rPr>
        <w:t>- Căn cứ Công văn số 745 TC/TCNH, ngày 19/01/2004 về việc tăng cường quản lý và phát triển thị trường xổ số và Công văn số 7887/TC-TCNH ngày 16/7/2004 về việc quan tâm phát triển hoạt động kinh doanh xổ số kiến thiết ở khu vực miền Bắc, miền Trung của Bộ Tài chính gửi UBND các tỉnh, thành phố trực thuộc Trung ương;</w:t>
      </w:r>
    </w:p>
    <w:p>
      <w:r>
        <w:rPr>
          <w:b w:val="0"/>
          <w:i/>
        </w:rPr>
        <w:t>- Căn cứ Quyết định số 19/QĐ-UBND tỉnh ngày 01/10/1992 của Ủy ban nhân dân tỉnh Quảng Bình về việc thành lập Công ty Xổ số kiến thiết Quảng Bình;</w:t>
      </w:r>
    </w:p>
    <w:p>
      <w:r>
        <w:rPr>
          <w:b w:val="0"/>
          <w:i/>
        </w:rPr>
        <w:t>- Xét đề nghị của Sở Tài chính và Công ty XSKT Quảng Bình tại biên bản họp ngày 25/11/2004; Phương án thực hiện Đề án của Bộ Tài chính về việc tổ chức hoạt động kinh doanh theo mô hình thị trường chung khu vực miền Trung do Công ty Xổ số Kiến thiết Quảng Bình lập,</w:t>
      </w:r>
    </w:p>
    <w:p>
      <w:pPr>
        <w:jc w:val="center"/>
      </w:pPr>
      <w:r>
        <w:rPr>
          <w:b/>
          <w:i w:val="0"/>
        </w:rPr>
        <w:t>QUYẾT ĐỊNH</w:t>
      </w:r>
    </w:p>
    <w:p>
      <w:r>
        <w:rPr>
          <w:b/>
          <w:i w:val="0"/>
        </w:rPr>
        <w:t>Điều 1</w:t>
      </w:r>
      <w:r>
        <w:rPr>
          <w:b/>
          <w:i w:val="0"/>
        </w:rPr>
        <w:t xml:space="preserve">. </w:t>
      </w:r>
      <w:r>
        <w:rPr>
          <w:b w:val="0"/>
          <w:i w:val="0"/>
        </w:rPr>
        <w:t>Phê duyệt Phương án tổ chức hoạt động kinh doanh theo mô hình thị trường chung khu vực miền Trung của Công ty Xổ số Kiến thiết Quảng Bình với những nội dung như sau:</w:t>
      </w:r>
    </w:p>
    <w:p>
      <w:r>
        <w:rPr>
          <w:b/>
          <w:i w:val="0"/>
        </w:rPr>
        <w:t>1. Tên phương án:</w:t>
      </w:r>
      <w:r>
        <w:rPr>
          <w:b w:val="0"/>
          <w:i w:val="0"/>
        </w:rPr>
        <w:t xml:space="preserve"> Tổ chức hoạt động kinh doanh theo mô hình thị trường chung khu vực miền Trung của Công ty Xổ số Kiến thiết Quảng Bình.</w:t>
      </w:r>
    </w:p>
    <w:p>
      <w:r>
        <w:rPr>
          <w:b/>
          <w:i w:val="0"/>
        </w:rPr>
        <w:t>2. Mục tiêu:</w:t>
      </w:r>
      <w:r>
        <w:rPr>
          <w:b w:val="0"/>
          <w:i w:val="0"/>
        </w:rPr>
        <w:t xml:space="preserve"> Duy trì và phát triển các loại hình vé xổ số trên tị trường nội tỉnh, thâm nhập và mở rộng thị trường xổ số kiến thiết đến các tỉnh khu vực miền Trung, tham gia cạnh tranh lành mạnh để phát triển hoạt động kinh doanh ngày càng có hiệu quả.</w:t>
      </w:r>
    </w:p>
    <w:p>
      <w:r>
        <w:rPr>
          <w:b w:val="0"/>
          <w:i w:val="0"/>
        </w:rPr>
        <w:t>Sắp xếp tổ chức lại bộ máy quản lý, cải tiến và mở rộng kinh doanh xổ số kiến thiết nhằm khai thác có hiệu quả các tiềm lực sẵn có, nâng cao sức cạnh tranh của doanh nghiệp, ổn định việc làm và thu nhập của người lao động, góp phần xóa đói giảm nghèo cho xã hội, chống tệ nạn số đề, kinh doanh ngày càng có hiệu quả, tăng nhanh và vững chắc các chỉ tiêu kinh tế cơ bản về doanh số, lợi nhuận, thu nộp Ngân sách.</w:t>
      </w:r>
    </w:p>
    <w:p>
      <w:r>
        <w:rPr>
          <w:b/>
          <w:i w:val="0"/>
        </w:rPr>
        <w:t>3. Nhiệm vụ</w:t>
      </w:r>
      <w:r>
        <w:rPr>
          <w:b w:val="0"/>
          <w:i w:val="0"/>
        </w:rPr>
        <w:t xml:space="preserve">: Các chỉ tiêu chủ yếu thời kỳ 2005-2007: </w:t>
      </w:r>
    </w:p>
    <w:p>
      <w:r>
        <w:rPr>
          <w:b w:val="0"/>
          <w:i w:val="0"/>
        </w:rPr>
        <w:t>- Doanh số: Tỷ lệ tăng trưởng hàng năm là 40%, đến năm 2007 đạt doanh số 48.320 triệu đồng. Trong đó, chú trọng vé xổ số truyền thống, tỷ lệ hàng năm là 50%.</w:t>
      </w:r>
    </w:p>
    <w:p>
      <w:r>
        <w:rPr>
          <w:b w:val="0"/>
          <w:i w:val="0"/>
        </w:rPr>
        <w:t>- Nộp ngân sách: Tỷ lệ tăng hàng năm là 40%, đến năm 2007 đạt 10.300 triệu đồng.</w:t>
      </w:r>
    </w:p>
    <w:p>
      <w:r>
        <w:rPr>
          <w:b w:val="0"/>
          <w:i w:val="0"/>
        </w:rPr>
        <w:t xml:space="preserve">- Lợi nhuận: Năm đầu (2005) mới tham gia thị trường chung, do đầu tư mở rộng thị trường nên còn gặp khó khăn, vì vậy, đơn vị phấn đâu hòa vốn hoặc có lãi. Những năm tiếp theo (2006-2007), phấn đấu đạt lợi nhuận tương xứng với quy mô hoạt động và tỷ trọng đầu tư. Phấn đấu đến năm 2007 đạt lợi nhuận 1 tỷ đồng/năm. </w:t>
      </w:r>
    </w:p>
    <w:p>
      <w:r>
        <w:rPr>
          <w:b w:val="0"/>
          <w:i w:val="0"/>
        </w:rPr>
        <w:t>- Thu nhập của người lao động: Đảm bảo thu nhập ổn định cho người lao động phù hợp với hiệu quả hoạt động kinh doanh của Công ty trên cơ sở đảm bảo hài hòa lợi ích Nhà nước, lợi ích doanh nghiệp và lợi ích người lao động.</w:t>
      </w:r>
    </w:p>
    <w:p>
      <w:r>
        <w:rPr>
          <w:b/>
          <w:i w:val="0"/>
        </w:rPr>
        <w:t>4. Tổ chức bộ máy</w:t>
      </w:r>
      <w:r>
        <w:rPr>
          <w:b w:val="0"/>
          <w:i w:val="0"/>
        </w:rPr>
        <w:t>: Sắp xếp tổ chức lại bộ máy, bố trí cán bộ phù hợp với từng giai đoạn phát triển nhằm nâng cao hiệu quả của công tác quản lý hoạt động kinh doanh của đơn vị.</w:t>
      </w:r>
    </w:p>
    <w:p>
      <w:r>
        <w:rPr>
          <w:b w:val="0"/>
          <w:i w:val="0"/>
        </w:rPr>
        <w:t>+ Công ty có 01 Giám đốc, 01 đến 02 Phó Giám đốc, 01 Kế toán trưởng, một số phòng ban nghiệp vụ và các chi nhánh, đại lý trong và ngoài tỉnh.</w:t>
      </w:r>
    </w:p>
    <w:p>
      <w:r>
        <w:rPr>
          <w:b w:val="0"/>
          <w:i w:val="0"/>
        </w:rPr>
        <w:t>+ Tiếp tục duy trì các chi nhánh nội tỉnh hiện có là: Chi nhánh Xổ số Kiến thiết Lệ Thủy; Bố Trạch; Quảng Trạch; Tuyên Hoá - Minh Hóa.</w:t>
      </w:r>
    </w:p>
    <w:p>
      <w:r>
        <w:rPr>
          <w:b w:val="0"/>
          <w:i w:val="0"/>
        </w:rPr>
        <w:t>+ Mở các Văn phòng đại diện ngoại tỉnh và mạng lưới tiếp thị nhằm thực hiện nhiệm vụ hoạt động kinh doanh của đơn vị phù hợp với từng giai đoạn phát triển.</w:t>
      </w:r>
    </w:p>
    <w:p>
      <w:r>
        <w:rPr>
          <w:b w:val="0"/>
          <w:i w:val="0"/>
        </w:rPr>
        <w:t>1. Văn phòng đại diện tại khu vực Thừa Thiên - Huế;</w:t>
      </w:r>
    </w:p>
    <w:p>
      <w:r>
        <w:rPr>
          <w:b w:val="0"/>
          <w:i w:val="0"/>
        </w:rPr>
        <w:t>2. Văn phòng đại diện tại khu vực Đà Nẵng;</w:t>
      </w:r>
    </w:p>
    <w:p>
      <w:r>
        <w:rPr>
          <w:b w:val="0"/>
          <w:i w:val="0"/>
        </w:rPr>
        <w:t>3. Văn phòng đại diện tại khu vực Bình Định;</w:t>
      </w:r>
    </w:p>
    <w:p>
      <w:r>
        <w:rPr>
          <w:b w:val="0"/>
          <w:i w:val="0"/>
        </w:rPr>
        <w:t>4. Văn phòng đại diện tại khu vực khánh Hòa;</w:t>
      </w:r>
    </w:p>
    <w:p>
      <w:r>
        <w:rPr>
          <w:b w:val="0"/>
          <w:i w:val="0"/>
        </w:rPr>
        <w:t>5. Văn phòng đại diện tại khu vực Đắk Lắk;</w:t>
      </w:r>
    </w:p>
    <w:p>
      <w:r>
        <w:rPr>
          <w:b w:val="0"/>
          <w:i w:val="0"/>
        </w:rPr>
        <w:t>6. Văn phòng đại diện tại khu vực Gia Lai.</w:t>
      </w:r>
    </w:p>
    <w:p>
      <w:r>
        <w:rPr>
          <w:b/>
          <w:i w:val="0"/>
        </w:rPr>
        <w:t>5. Các giải pháp để thực hiện:</w:t>
      </w:r>
    </w:p>
    <w:p>
      <w:r>
        <w:rPr>
          <w:b w:val="0"/>
          <w:i w:val="0"/>
        </w:rPr>
        <w:t>- Căn cứ vào tình hình cụ thể để tiến hành sắp xếp, tổ chức lại bộ máy phù hợp với từng giai đoạn phát triển trên cơ sở tiếp tục duy trì các chi nhánh nội tỉnh hiện có và mở rộng thị trường đến các khu vực miền Trung.</w:t>
      </w:r>
    </w:p>
    <w:p>
      <w:r>
        <w:rPr>
          <w:b w:val="0"/>
          <w:i w:val="0"/>
        </w:rPr>
        <w:t>- Nhu cầu vốn của đơn vi: Tăng hợp lý theo tốc độ tăng trưởng và quy mô hoạt động của đơn vị. Ngân sách hỗ trợ bổ sung vốn cho Công ty từ nay đến 2007: 4 tỷ đồng bằng nhiều hình thức và phù hợp khả năng của ngân sách tỉnh.</w:t>
      </w:r>
    </w:p>
    <w:p>
      <w:r>
        <w:rPr>
          <w:b/>
          <w:i w:val="0"/>
        </w:rPr>
        <w:t>Điều II:</w:t>
      </w:r>
      <w:r>
        <w:rPr>
          <w:b/>
          <w:i w:val="0"/>
        </w:rPr>
        <w:t xml:space="preserve"> </w:t>
      </w:r>
      <w:r>
        <w:rPr>
          <w:b w:val="0"/>
          <w:i w:val="0"/>
        </w:rPr>
        <w:t>Giao cho Công ty xổ số Kiến thiết Quảng Bình chủ động thực hiện phương án kinh doanh, sắp xếp, tổ chức lại bộ máy, bố trí lao đọng phù hợp, thực hiện đúng các quy định hiện hành của Nhà nước để kinh doanh có hiệu quả nhất nhằm đạt được các mục tiêu đã đề ra.</w:t>
      </w:r>
    </w:p>
    <w:p>
      <w:r>
        <w:rPr>
          <w:b w:val="0"/>
          <w:i w:val="0"/>
        </w:rPr>
        <w:t>Giao Sở Tài chính Quảng Bình cùng các ngành có liên quan soát xét phương án cụ thể và chỉ đạo Công ty Xổ số Kiến thiết Quảng Bình thực hiện theo đúng nội dung phương án đã được phê duyệt.</w:t>
      </w:r>
    </w:p>
    <w:p>
      <w:r>
        <w:rPr>
          <w:b/>
          <w:i w:val="0"/>
        </w:rPr>
        <w:t>Điều III:</w:t>
      </w:r>
      <w:r>
        <w:rPr>
          <w:b/>
          <w:i w:val="0"/>
        </w:rPr>
        <w:t xml:space="preserve"> </w:t>
      </w:r>
      <w:r>
        <w:rPr>
          <w:b w:val="0"/>
          <w:i w:val="0"/>
        </w:rPr>
        <w:t>Chánh Văn phòng Ủy ban nhân dân tỉnh, Giám đốc Sở Tài chính, Cục trưởng Cục Thuế tỉnh, Giám đốc Kho bạc Nhà nước tỉnh, Chủ tịch Liên đoàn Lao động tỉnh, Giám đốc Công ty Xổ số Kiến thiết Quảng Bình và Thủ trưởng các Sở, ban, ngành có liên quan chịu trách nhiệm thi hành Quyết định này./.</w:t>
      </w:r>
    </w:p>
    <w:p>
      <w:r>
        <w:rPr>
          <w:b w:val="0"/>
          <w:i w:val="0"/>
        </w:rPr>
        <w:br/>
      </w:r>
      <w:r>
        <w:rPr>
          <w:b/>
          <w:i w:val="0"/>
        </w:rPr>
        <w:br/>
      </w:r>
      <w:r>
        <w:rPr>
          <w:b/>
          <w:i w:val="0"/>
        </w:rPr>
        <w:br/>
      </w:r>
      <w:r>
        <w:rPr>
          <w:b/>
          <w:i w:val="0"/>
        </w:rPr>
        <w:br/>
      </w:r>
      <w:r>
        <w:rPr>
          <w:b/>
          <w:i w:val="0"/>
        </w:rPr>
        <w:t xml:space="preserve">TM. UBND TỈNH QUẢNG BÌNH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Phạm Thị Bích Lựa</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UBND TỈNH QUẢNG BÌNH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Phạm Thị Bích Lựa</w:t>
      </w:r>
      <w:r>
        <w:rPr>
          <w:b/>
          <w:i w:val="0"/>
        </w:rPr>
        <w:br/>
      </w:r>
      <w:r>
        <w:rPr>
          <w:b w:val="0"/>
          <w:i w:val="0"/>
        </w:rPr>
        <w:br/>
      </w:r>
    </w:p>
    <w:p>
      <w:r>
        <w:rPr>
          <w:b w:val="0"/>
          <w:i w:val="0"/>
        </w:rPr>
        <w:br/>
      </w:r>
      <w:r>
        <w:rPr>
          <w:b w:val="0"/>
          <w:i w:val="0"/>
        </w:rPr>
        <w:t xml:space="preserve">TM. UBND TỈNH QUẢNG BÌNH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Phạm Thị Bích Lựa</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