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880/QĐ-HQHCM năm 2014 về Quy trình thí điểm tạm thời quản lý đối với hoạt động thu đổi ngoại tệ tại khu vực cách ly ga đến Sân bay Quốc tế Tân Sơn Nhất của Công ty Cổ phần Sóng Việt do Cục trưởng Cục Hải quan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CỤC HẢI QUAN</w:t>
            </w:r>
            <w:r>
              <w:br/>
            </w:r>
            <w:r>
              <w:rPr>
                <w:b/>
                <w:i w:val="0"/>
              </w:rPr>
              <w:br/>
              <w:t xml:space="preserve">          CỤC HẢI QUAN </w:t>
            </w:r>
            <w:r>
              <w:br/>
            </w:r>
            <w:r>
              <w:rPr>
                <w:b/>
                <w:i w:val="0"/>
              </w:rPr>
              <w:br/>
              <w:t xml:space="preserve">          TP.HỒ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BAN HÀNH QUY TRÌNH THÍ ĐIỂM TẠM THỜI QUẢN LÝ ĐỐI VỚI HOẠT ĐỘNG THU ĐỔI NGOẠI TỆ TẠI KHU VỰC CÁCH LY GA ĐẾN SÂN BAY QUỐC TẾ TÂN SƠN NHẤT CỦA CÔNG TY CỔ PHẦN SÓNG VIỆT</w:t>
      </w:r>
    </w:p>
    <w:p>
      <w:pPr>
        <w:jc w:val="center"/>
      </w:pPr>
      <w:r>
        <w:rPr>
          <w:b/>
          <w:i w:val="0"/>
        </w:rPr>
        <w:t>CỤC TRƯỞNG CỤC HẢI QUAN TP. HỒ CHÍ MINH</w:t>
      </w:r>
    </w:p>
    <w:p>
      <w:r>
        <w:rPr>
          <w:b w:val="0"/>
          <w:i/>
        </w:rPr>
        <w:t>Căn cứ Luật Hải quan số 29/2001-QH10, ngày 29/06/2001 và Luật sửa đổi, bổ sung một số điều của Luật Hải quan số 42/2005/QH11, ngày 14/06/2005;</w:t>
      </w:r>
    </w:p>
    <w:p>
      <w:r>
        <w:rPr>
          <w:b w:val="0"/>
          <w:i/>
        </w:rPr>
        <w:t>Căn cứ Nghị định số 154/2005/NĐ-CP, ngày 15/12/2005 của Chính phủ quy định chi tiết một số điều của Luật Hải quan về thủ tục, hải quan, kiểm tra, giám sát hải quan;</w:t>
      </w:r>
    </w:p>
    <w:p>
      <w:r>
        <w:rPr>
          <w:b w:val="0"/>
          <w:i/>
        </w:rPr>
        <w:t>Căn cứ Thông tư số 128/2013/TT-BTC, ngày 10/9/2013 của Bộ Tài chính quy định về thủ tục hải quan; kiểm tra, giám sát hải quan; thuế xuất khẩu, thuế nhập khẩu và quản lý thuế đối với hàng hóa xuất khẩu, nhập khẩu;</w:t>
      </w:r>
    </w:p>
    <w:p>
      <w:r>
        <w:rPr>
          <w:b w:val="0"/>
          <w:i/>
        </w:rPr>
        <w:t>Căn cứ Quyết định số 1027/QĐ-BTC ngày 11/5/2010 của Bộ trưởng Bộ Tài chính về việc quy định chức năng, nhiệm vụ, quyền hạn và cơ cấu tổ chức của Cục Hải quan Tỉnh, liên tỉnh, Thành phố trực thuộc Trung ương;</w:t>
      </w:r>
    </w:p>
    <w:p>
      <w:r>
        <w:rPr>
          <w:b w:val="0"/>
          <w:i/>
        </w:rPr>
        <w:t>Căn cứ Quyết định số 21/2008/QĐ-NHNN, ngày 11/7/2008 của Ngân hàng Nhà nước Việt Nam về việc ban hành quy chế đại lý đổi ngoại tệ;</w:t>
      </w:r>
    </w:p>
    <w:p>
      <w:r>
        <w:rPr>
          <w:b w:val="0"/>
          <w:i/>
        </w:rPr>
        <w:t>Thông tư số 15/2011/TT-NHNN, ngày 12/8/2011 của Ngân hàng Nhà nước Việt Nam về việc quy định việc mang ngoại tệ tiền mặt, đồng Việt Nam tiền mặt của cá nhân khi xuất cảnh, nhập cảnh;</w:t>
      </w:r>
    </w:p>
    <w:p>
      <w:r>
        <w:rPr>
          <w:b w:val="0"/>
          <w:i/>
        </w:rPr>
        <w:t>Xét đề nghị của Trưởng phòng Giám sát quản lý về hải quan,</w:t>
      </w:r>
    </w:p>
    <w:p>
      <w:pPr>
        <w:jc w:val="center"/>
      </w:pPr>
      <w:r>
        <w:rPr>
          <w:b/>
          <w:i w:val="0"/>
        </w:rPr>
        <w:t>QUYẾT ĐỊNH:</w:t>
      </w:r>
    </w:p>
    <w:p>
      <w:r>
        <w:rPr>
          <w:b/>
          <w:i w:val="0"/>
        </w:rPr>
        <w:t xml:space="preserve">Điều 1. </w:t>
      </w:r>
      <w:r>
        <w:rPr>
          <w:b w:val="0"/>
          <w:i w:val="0"/>
        </w:rPr>
        <w:t>Ban hành kèm theo Quyết định này Quy trình thí điểm tạm thời quản lý đối với hoạt động thu đổi ngoại tệ tại khu vực cách ly ga đến Sân bay Quốc tế Tân Sơn Nhất của Công ty Cổ phần Sóng Việt.</w:t>
      </w:r>
    </w:p>
    <w:p>
      <w:r>
        <w:rPr>
          <w:b/>
          <w:i w:val="0"/>
        </w:rPr>
        <w:t xml:space="preserve">Điều 2. </w:t>
      </w:r>
      <w:r>
        <w:rPr>
          <w:b w:val="0"/>
          <w:i w:val="0"/>
        </w:rPr>
        <w:t>Quyết định này có hiệu lực thi hành kể từ ngày ký.</w:t>
      </w:r>
    </w:p>
    <w:p>
      <w:r>
        <w:rPr>
          <w:b/>
          <w:i w:val="0"/>
        </w:rPr>
        <w:t xml:space="preserve">Điều 3. </w:t>
      </w:r>
      <w:r>
        <w:rPr>
          <w:b w:val="0"/>
          <w:i w:val="0"/>
        </w:rPr>
        <w:t>Chi cục Hải quan Cửa khẩu Sân bay Quốc tế Tân Sơn Nhất,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CỤC TRƯỞNG</w:t>
            </w:r>
            <w:r>
              <w:br/>
            </w:r>
            <w:r>
              <w:rPr>
                <w:b/>
                <w:i w:val="0"/>
              </w:rPr>
              <w:br/>
              <w:t xml:space="preserve">          PHÓ CỤC TRƯỞNG</w:t>
            </w:r>
            <w:r>
              <w:br/>
            </w:r>
            <w:r>
              <w:rPr>
                <w:b/>
                <w:i/>
              </w:rPr>
              <w:t>(Đã ký)</w:t>
            </w:r>
            <w:r>
              <w:br/>
            </w:r>
            <w:r>
              <w:br/>
            </w:r>
            <w:r>
              <w:rPr>
                <w:b/>
                <w:i w:val="0"/>
              </w:rPr>
              <w:br/>
              <w:t xml:space="preserve">          Nguyễn Hữu Nghiệp</w:t>
            </w:r>
          </w:p>
        </w:tc>
      </w:tr>
    </w:tbl>
    <w:p>
      <w:pPr>
        <w:jc w:val="center"/>
      </w:pPr>
      <w:r>
        <w:rPr>
          <w:b/>
          <w:i w:val="0"/>
        </w:rPr>
        <w:t>QUY TRÌNH</w:t>
      </w:r>
    </w:p>
    <w:p>
      <w:pPr>
        <w:jc w:val="center"/>
      </w:pPr>
      <w:r>
        <w:rPr>
          <w:b w:val="0"/>
          <w:i w:val="0"/>
        </w:rPr>
        <w:t>THÍ ĐIỂM TẠM THỜI VỀ QUẢN LÝ ĐỐI VỚI HOẠT ĐỘNG THU ĐỔI NGOẠI TỆ TẠI KHU VỰC CÁCH LY GA ĐẾN SÂN BAY QUỐC TẾ TÂN SƠN NHẤT CỦA CÔNG TY CP SÓNG VIỆT</w:t>
      </w:r>
      <w:r>
        <w:br/>
      </w:r>
      <w:r>
        <w:rPr>
          <w:b w:val="0"/>
          <w:i/>
        </w:rPr>
        <w:t>(Ban hành kèm theo Quyết định số 880/QĐ-HQHCM ngày 15/8/2014 của Cục trưởng Cục Hải quan Thành phố Hồ Chí Minh)</w:t>
      </w:r>
    </w:p>
    <w:p>
      <w:r>
        <w:rPr>
          <w:b/>
          <w:i w:val="0"/>
        </w:rPr>
        <w:t>I. Quy định chung:</w:t>
      </w:r>
    </w:p>
    <w:p>
      <w:r>
        <w:rPr>
          <w:b w:val="0"/>
          <w:i w:val="0"/>
        </w:rPr>
        <w:t>1. Hoạt động thu đổi ngoại tệ của các bàn đại lý đổi ngoại tệ của Công ty Cổ phần Sóng Việt (dưới đây gọi tắt là Quầy) đặt tại mặt bằng Khu cách ly ga đến Sân bay quốc tế Tân Sơn Nhất (gồm quầy 68 G và 68 H), nhằm đáp ứng nhu cầu đổi ngoại tệ ra Việt Nam Đồng (VNĐ) của hành khách nhập cảnh.</w:t>
      </w:r>
    </w:p>
    <w:p>
      <w:r>
        <w:rPr>
          <w:b w:val="0"/>
          <w:i w:val="0"/>
        </w:rPr>
        <w:t>2. Quầy đặt tại vị trí sau khu vực làm thủ tục nhập cảnh và trước khu vực làm thủ tục hải quan nhập cảnh, được cơ quan hải quan giám sát đối với ngoại tệ đưa vào, đưa ra quầy. Nhân viên thu đổi ngoại tệ của Công ty CP Sóng Việt phải đi vào và ra quầy thu đổi ngoại tệ theo các lối đi riêng do cơ quan Hải quan quy định.</w:t>
      </w:r>
    </w:p>
    <w:p>
      <w:r>
        <w:rPr>
          <w:b w:val="0"/>
          <w:i w:val="0"/>
        </w:rPr>
        <w:t>3. Quầy chỉ thực hiện nghiệp vụ thu đổi ngoại tệ ra Việt Nam Đồng và nhân viên của quầy phải chấp hành quy định khai báo lượng tiền mặt (gồm đồng Việt Nam, ngoại tệ) khi đưa vào, đưa ra khu vực cách ly.</w:t>
      </w:r>
    </w:p>
    <w:p>
      <w:r>
        <w:rPr>
          <w:b w:val="0"/>
          <w:i w:val="0"/>
        </w:rPr>
        <w:t>4. Công ty Cổ phần Sóng Việt phải tuân thủ quy định hiện hành về quản lý ngoại tệ của Ngân hàng Nhà nước (Quy chế đại lý đổi ngoại tệ số 21/2008/QĐ-NHNN ngày 11 tháng 7 năm 2008 và Điểm d Khoản 01 Điều 2 Thông tư 15/2011/TT-NHNN ngày 12 tháng 08 năm 2011 của Ngân hàng Nhà nước).</w:t>
      </w:r>
    </w:p>
    <w:p>
      <w:r>
        <w:rPr>
          <w:b w:val="0"/>
          <w:i w:val="0"/>
        </w:rPr>
        <w:t>5. Công ty cổ phần Sóng Việt phải tuân thủ nội quy của kiểm soát an ninh, quy định về phòng cháy chữa cháy, quy định của các cơ quan chức năng tại Cảng Hàng không Sân bay quốc tế Tân Sơn Nhất.</w:t>
      </w:r>
    </w:p>
    <w:p>
      <w:r>
        <w:rPr>
          <w:b/>
          <w:i w:val="0"/>
        </w:rPr>
        <w:t>II. Quy định cụ thể:</w:t>
      </w:r>
    </w:p>
    <w:p>
      <w:r>
        <w:rPr>
          <w:b/>
          <w:i/>
        </w:rPr>
        <w:t>Bước 1. Giám sát đối với việc đưa tiền Việt Nam Đồng vào các quầy thu đổi ngoại tệ:</w:t>
      </w:r>
    </w:p>
    <w:p>
      <w:r>
        <w:rPr>
          <w:b w:val="0"/>
          <w:i w:val="0"/>
        </w:rPr>
        <w:t>Nhân viên của Công ty Cổ phần Sóng Việt mang VNĐ và tiền lẻ ngoại tệ vào các quầy thu đổi phải khai báo cho Đội Thủ tục hành lý nhập khẩu và chịu trách nhiệm về tính chính xác của Bảng kê VNĐ và ngoại tệ khi mang vào quầy (Mẫu 1), công chức của Đội Thủ tục hành lý nhập khẩu sẽ tiến hành kiểm tra, đóng dấu công chức và ký xác nhận trên bảng kê.</w:t>
      </w:r>
    </w:p>
    <w:p>
      <w:r>
        <w:rPr>
          <w:b/>
          <w:i/>
        </w:rPr>
        <w:t>Bước 2. Giám sát quá trình thu đổi ngoại tệ.</w:t>
      </w:r>
    </w:p>
    <w:p>
      <w:r>
        <w:rPr>
          <w:b w:val="0"/>
          <w:i w:val="0"/>
        </w:rPr>
        <w:t>- Khi thu đổi ngoại tệ cho khách hàng, nhân viên của Công ty Cổ phần Sóng Việt phải xuất hóa đơn theo mẫu của Ngân hàng, hóa đơn được lập 02 liên: 01 liên Công ty lưu giữ, 01 liên hành khách giữ dùng để chứng minh nguồn tiền khi qua khu vực nhập cảnh của cơ quan Hải quan. Hóa đơn phải có đủ thông tin về họ tên, số hộ chiếu, số chuyến bay, ngày giờ, số hóa đơn, tên ngoại tệ, tỉ giá, số lượng ngoại tệ và tổng tiền quy đổi VNĐ.</w:t>
      </w:r>
    </w:p>
    <w:p>
      <w:r>
        <w:rPr>
          <w:b w:val="0"/>
          <w:i w:val="0"/>
        </w:rPr>
        <w:t>- Công ty trang bị máy chủ tại các bàn thu đổi 68G và 68H và trang bị máy tính nối mạng đặt tại Đội Thủ tục Hành lý nhập khẩu để truyền trực tuyến số liệu của từng lần thu đổi, bao gồm: Họ tên, số hộ chiếu, số chuyến bay, ngày giờ, số hóa đơn, tên ngoại tệ, tỉ giá, số lượng ngoại tệ và tổng tiền quy đổi VNĐ cho cơ quan Hải quan, bố trí các camera quan sát tại 02 quầy có kết nối với cơ quan hải quan.</w:t>
      </w:r>
    </w:p>
    <w:p>
      <w:r>
        <w:rPr>
          <w:b/>
          <w:i/>
        </w:rPr>
        <w:t>Bước 3. Kiểm tra, giám sát đối với việc chấp hành các quy định về quản lý ngoại tệ đối với hành khách nhập cảnh:</w:t>
      </w:r>
    </w:p>
    <w:p>
      <w:r>
        <w:rPr>
          <w:b w:val="0"/>
          <w:i w:val="0"/>
        </w:rPr>
        <w:t>Công chức Đội Thủ tục Hành lý nhập khẩu sẽ kiểm tra, giám sát việc mang ngoại tệ của hành khách; khách hàng phải xuất trình hóa đơn thu đổi ngoại tệ, công chức sẽ đối chiếu dữ liệu với do Công ty Cổ phần Sóng Việt truyền đến cơ quan hải quan, để giải quyết đối với số ngoại tệ khi nhập cảnh.</w:t>
      </w:r>
    </w:p>
    <w:p>
      <w:r>
        <w:rPr>
          <w:b/>
          <w:i/>
        </w:rPr>
        <w:t>Bước 4. Giám sát việc mang ngoại tệ và Việt Nam Đồng còn thừa sau khi thu đổi ra khỏi khu vực cách ly.</w:t>
      </w:r>
    </w:p>
    <w:p>
      <w:r>
        <w:rPr>
          <w:b w:val="0"/>
          <w:i w:val="0"/>
        </w:rPr>
        <w:t>Cuối ngày, khi mang ngoại tệ và tiền Việt nam Đồng còn thừa sau khi thu đổi ra khỏi quầy, nhân viên Công ty Cổ phần Sóng Việt phải lập bảng kê theo (mẫu số 2), mỗi loại 02 bản; công chức Đội Thủ tục hành lý nhập khẩu có trách nhiệm đối chiếu với dữ liệu trên máy, đóng dấu công chức và ký vào báo cáo.</w:t>
      </w:r>
    </w:p>
    <w:p>
      <w:r>
        <w:rPr>
          <w:b/>
          <w:i/>
        </w:rPr>
        <w:t>Bước 5. Thanh khoản và chế độ báo cáo định kỳ:</w:t>
      </w:r>
    </w:p>
    <w:p>
      <w:r>
        <w:rPr>
          <w:b w:val="0"/>
          <w:i w:val="0"/>
        </w:rPr>
        <w:t>- Tuần đầu tiên của mỗi tháng, Công ty CP Sóng Việt có trách nhiệm tổng hợp toàn bộ báo cáo ngày về thu đổi ngoại tệ thành báo cáo tháng gởi cho Đội Thủ hành lý nhập khẩu để thực hiện việc thanh khoản.</w:t>
      </w:r>
    </w:p>
    <w:p>
      <w:r>
        <w:rPr>
          <w:b w:val="0"/>
          <w:i w:val="0"/>
        </w:rPr>
        <w:t>- Cơ quan Hải quan kiểm tra dữ liệu trên máy tính nối mạng, đối chiếu dữ liệu trên máy với Báo cáo ngoại tệ mua vào trong tháng. Nếu nội dung báo cáo đầy đủ, chính xác thì công chức được phân công sẽ đóng dấu trên hồ sơ “Đã thanh khoản” và ký tên trên hồ sơ.</w:t>
      </w:r>
    </w:p>
    <w:p>
      <w:r>
        <w:rPr>
          <w:b/>
          <w:i w:val="0"/>
        </w:rPr>
        <w:t>III. Tổ chức thực hiện:</w:t>
      </w:r>
    </w:p>
    <w:p>
      <w:r>
        <w:rPr>
          <w:b w:val="0"/>
          <w:i w:val="0"/>
        </w:rPr>
        <w:t>1. Chi cục trưởng Chi cục Hải quan Sân bay Quốc tế Tân Sơn Nhất có trách nhiệm tổ chức triển khai để thực hiện quy trình này:</w:t>
      </w:r>
    </w:p>
    <w:p>
      <w:r>
        <w:rPr>
          <w:b w:val="0"/>
          <w:i w:val="0"/>
        </w:rPr>
        <w:t>- Phân công hướng dẫn, kiểm tra công chức thực hiện đúng quy trình thủ tục.</w:t>
      </w:r>
    </w:p>
    <w:p>
      <w:r>
        <w:rPr>
          <w:b w:val="0"/>
          <w:i w:val="0"/>
        </w:rPr>
        <w:t>- Xử lý và báo cáo các vướng mắc phát sinh trong quá trình kiểm tra, giám sát đối với hoạt động thu đổi ngoại tệ tại khu vực cách ly ga đến Sân bay Quốc tế Tân Sơn Nhất của Công ty Cổ phần Sóng Việt</w:t>
      </w:r>
    </w:p>
    <w:p>
      <w:r>
        <w:rPr>
          <w:b w:val="0"/>
          <w:i w:val="0"/>
        </w:rPr>
        <w:t>2. Định kỳ 6 tháng, Chi cục Hải quan Sân bay Quốc tế Tân Sơn Nhất có trách nhiệm báo cáo toàn bộ hoạt động thu đổi ngoại tệ cho Cục Hải quan TP Hồ Chí Minh.</w:t>
      </w:r>
    </w:p>
    <w:p>
      <w:r>
        <w:rPr>
          <w:b w:val="0"/>
          <w:i w:val="0"/>
        </w:rPr>
        <w:t>3. Trong quá trình thực hiện nếu có phát sinh vướng mắc, Chi cục Hải quan Sân bay Quốc tế Tân Sơn Nhất báo cáo về Cục Hải quan TP. Hồ Chí Minh để kịp thời điều chỉnh và tổng hợp báo cáo Tổng cục Hải quan hướng dẫn giải quyết.</w:t>
      </w:r>
    </w:p>
    <w:p>
      <w:pPr>
        <w:jc w:val="right"/>
      </w:pPr>
      <w:r>
        <w:rPr>
          <w:b/>
          <w:i/>
        </w:rPr>
        <w:t>Mẫu 01/NTDV</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CÔNG TY CP SÓNG VIỆT</w:t>
            </w:r>
            <w:r>
              <w:br/>
            </w:r>
            <w:r>
              <w:rPr>
                <w:b/>
                <w:i w:val="0"/>
              </w:rPr>
              <w:br/>
              <w:t xml:space="preserve">          Quầy số:</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 xml:space="preserve">BẢNG KÊ </w:t>
      </w:r>
      <w:r>
        <w:br/>
      </w:r>
      <w:r>
        <w:rPr>
          <w:b/>
          <w:i w:val="0"/>
        </w:rPr>
        <w:br/>
        <w:t xml:space="preserve">      VIỆT NAM ĐỒNG VÀ NGOẠI TỆ ĐƯA VÀO QUẦY THU ĐỔI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tiền</w:t>
            </w:r>
          </w:p>
        </w:tc>
        <w:tc>
          <w:tcPr>
            <w:tcW w:type="dxa" w:w="2160"/>
          </w:tcPr>
          <w:p>
            <w:r>
              <w:rPr>
                <w:b w:val="0"/>
                <w:i w:val="0"/>
              </w:rPr>
              <w:br/>
            </w:r>
            <w:r>
              <w:rPr>
                <w:b/>
                <w:i w:val="0"/>
              </w:rPr>
              <w:t>Giá trị</w:t>
            </w:r>
          </w:p>
        </w:tc>
        <w:tc>
          <w:tcPr>
            <w:tcW w:type="dxa" w:w="2160"/>
          </w:tcPr>
          <w:p>
            <w:r>
              <w:rPr>
                <w:b w:val="0"/>
                <w:i w:val="0"/>
              </w:rPr>
              <w:br/>
            </w:r>
            <w:r>
              <w:rPr>
                <w:b/>
                <w:i w:val="0"/>
              </w:rPr>
              <w:t>Ghi chú</w:t>
            </w:r>
          </w:p>
        </w:tc>
      </w:tr>
    </w:tbl>
    <w:p>
      <w:r>
        <w:rPr>
          <w:b w:val="0"/>
          <w:i w:val="0"/>
        </w:rPr>
        <w:t>Công ty xin cam đoan chịu trách nhiệm trước pháp luật về số ngoại tệ kê khai trên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HẢI QUAN:</w:t>
            </w:r>
          </w:p>
        </w:tc>
        <w:tc>
          <w:tcPr>
            <w:tcW w:type="dxa" w:w="4320"/>
          </w:tcPr>
          <w:p>
            <w:r>
              <w:rPr>
                <w:b w:val="0"/>
                <w:i w:val="0"/>
              </w:rPr>
              <w:br/>
            </w:r>
            <w:r>
              <w:rPr>
                <w:b w:val="0"/>
                <w:i w:val="0"/>
              </w:rPr>
              <w:t>TP. HCM, Ngày …. tháng …. năm ……….</w:t>
            </w:r>
            <w:r>
              <w:br/>
            </w:r>
            <w:r>
              <w:rPr>
                <w:b w:val="0"/>
                <w:i w:val="0"/>
              </w:rPr>
              <w:t xml:space="preserve">Người khai </w:t>
            </w:r>
            <w:r>
              <w:br/>
            </w:r>
            <w:r>
              <w:rPr>
                <w:b w:val="0"/>
                <w:i/>
              </w:rPr>
              <w:t>(Ký ghi rõ họ, tên)</w:t>
            </w:r>
          </w:p>
        </w:tc>
      </w:tr>
    </w:tbl>
    <w:p>
      <w:pPr>
        <w:jc w:val="right"/>
      </w:pPr>
      <w:r>
        <w:rPr>
          <w:b/>
          <w:i/>
        </w:rPr>
        <w:t>Mẫu 02/NTDR</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 CP SÓNG VIỆT</w:t>
            </w:r>
            <w:r>
              <w:br/>
            </w:r>
            <w:r>
              <w:rPr>
                <w:b/>
                <w:i w:val="0"/>
              </w:rPr>
              <w:br/>
              <w:t xml:space="preserve">          Quầy số:</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 xml:space="preserve">BÁO CÁO </w:t>
      </w:r>
      <w:r>
        <w:br/>
      </w:r>
      <w:r>
        <w:rPr>
          <w:b/>
          <w:i w:val="0"/>
        </w:rPr>
        <w:br/>
        <w:t xml:space="preserve">      NGOẠI TỆ THU ĐỔI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Loại tiền</w:t>
            </w:r>
          </w:p>
        </w:tc>
        <w:tc>
          <w:tcPr>
            <w:tcW w:type="dxa" w:w="1440"/>
          </w:tcPr>
          <w:p>
            <w:r>
              <w:rPr>
                <w:b w:val="0"/>
                <w:i w:val="0"/>
              </w:rPr>
              <w:br/>
            </w:r>
            <w:r>
              <w:rPr>
                <w:b/>
                <w:i w:val="0"/>
              </w:rPr>
              <w:t>Giá trị</w:t>
            </w:r>
          </w:p>
        </w:tc>
        <w:tc>
          <w:tcPr>
            <w:tcW w:type="dxa" w:w="1440"/>
          </w:tcPr>
          <w:p>
            <w:r>
              <w:rPr>
                <w:b w:val="0"/>
                <w:i w:val="0"/>
              </w:rPr>
              <w:br/>
            </w:r>
            <w:r>
              <w:rPr>
                <w:b/>
                <w:i w:val="0"/>
              </w:rPr>
              <w:t>Số ngoại tệ đã thu đổi</w:t>
            </w:r>
          </w:p>
        </w:tc>
        <w:tc>
          <w:tcPr>
            <w:tcW w:type="dxa" w:w="1440"/>
          </w:tcPr>
          <w:p>
            <w:r>
              <w:rPr>
                <w:b w:val="0"/>
                <w:i w:val="0"/>
              </w:rPr>
              <w:br/>
            </w:r>
            <w:r>
              <w:rPr>
                <w:b/>
                <w:i w:val="0"/>
              </w:rPr>
              <w:t>Số tiềnVND còn lại</w:t>
            </w:r>
          </w:p>
        </w:tc>
        <w:tc>
          <w:tcPr>
            <w:tcW w:type="dxa" w:w="1440"/>
          </w:tcPr>
          <w:p>
            <w:r>
              <w:rPr>
                <w:b w:val="0"/>
                <w:i w:val="0"/>
              </w:rPr>
              <w:br/>
            </w:r>
            <w:r>
              <w:rPr>
                <w:b/>
                <w:i w:val="0"/>
              </w:rPr>
              <w:t>Ghi chú</w:t>
            </w:r>
          </w:p>
        </w:tc>
      </w:tr>
    </w:tbl>
    <w:p>
      <w:r>
        <w:rPr>
          <w:b w:val="0"/>
          <w:i w:val="0"/>
        </w:rPr>
        <w:t>Công ty xin cam đoan chịu trách nhiệm trước pháp luật về số ngoại tệ kê khai trên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HẢI QUAN:</w:t>
            </w:r>
          </w:p>
        </w:tc>
        <w:tc>
          <w:tcPr>
            <w:tcW w:type="dxa" w:w="4320"/>
          </w:tcPr>
          <w:p>
            <w:r>
              <w:rPr>
                <w:b w:val="0"/>
                <w:i w:val="0"/>
              </w:rPr>
              <w:br/>
            </w:r>
            <w:r>
              <w:rPr>
                <w:b w:val="0"/>
                <w:i w:val="0"/>
              </w:rPr>
              <w:t>TP. HCM, Ngày...... tháng …… năm ……..</w:t>
            </w:r>
            <w:r>
              <w:br/>
            </w:r>
            <w:r>
              <w:rPr>
                <w:b w:val="0"/>
                <w:i w:val="0"/>
              </w:rPr>
              <w:t xml:space="preserve">Người khai </w:t>
            </w:r>
            <w:r>
              <w:br/>
            </w:r>
            <w:r>
              <w:rPr>
                <w:b w:val="0"/>
                <w:i/>
              </w:rP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