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88/2005/QĐ-TTg Về việc điều chỉnh Phương án sắp xếp đối với một số công ty thuộc Tổng công ty Hoá chất Việt Nam đến năm 2006</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88/2005/QĐ-TTg</w:t>
      </w:r>
      <w:r>
        <w:rPr>
          <w:b w:val="0"/>
          <w:i w:val="0"/>
        </w:rPr>
        <w:br/>
      </w:r>
      <w:r>
        <w:rPr>
          <w:b w:val="0"/>
          <w:i w:val="0"/>
        </w:rPr>
        <w:br/>
      </w:r>
      <w:r>
        <w:rPr>
          <w:b w:val="0"/>
          <w:i w:val="0"/>
        </w:rPr>
        <w:br/>
      </w:r>
      <w:r>
        <w:rPr>
          <w:b w:val="0"/>
          <w:i w:val="0"/>
        </w:rPr>
        <w:br/>
      </w:r>
      <w:r>
        <w:rPr>
          <w:b w:val="0"/>
          <w:i/>
        </w:rPr>
        <w:t xml:space="preserve">Hà Nội, ngày 28 tháng 04 năm 2005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 xml:space="preserve">Về việc điều chỉnh Phương án sắp xếp đối với một số công ty </w:t>
      </w:r>
      <w:r>
        <w:rPr>
          <w:b w:val="0"/>
          <w:i w:val="0"/>
        </w:rPr>
        <w:br/>
      </w:r>
      <w:r>
        <w:rPr>
          <w:b/>
          <w:i w:val="0"/>
        </w:rPr>
        <w:t>thuộc Tổng công ty Hoá chất Việt Nam đến năm 2006</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Nhà nước ngày 26 tháng 11 năm 2003;</w:t>
      </w:r>
      <w:r>
        <w:rPr>
          <w:b w:val="0"/>
          <w:i w:val="0"/>
        </w:rPr>
        <w:br/>
      </w:r>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r>
        <w:rPr>
          <w:b w:val="0"/>
          <w:i w:val="0"/>
        </w:rPr>
        <w:br/>
      </w:r>
      <w:r>
        <w:rPr>
          <w:b w:val="0"/>
          <w:i/>
        </w:rPr>
        <w:t>Xét đề nghị của Hội đồng quản trị Tổng công ty Hoá chất Việt Nam.</w:t>
      </w:r>
      <w:r>
        <w:rPr>
          <w:b w:val="0"/>
          <w:i w:val="0"/>
        </w:rPr>
        <w:br/>
      </w:r>
      <w:r>
        <w:rPr>
          <w:b/>
          <w:i w:val="0"/>
        </w:rPr>
        <w:t xml:space="preserve"> QUYẾT ĐỊNH:</w:t>
      </w:r>
      <w:r>
        <w:rPr>
          <w:b w:val="0"/>
          <w:i w:val="0"/>
        </w:rPr>
        <w:br/>
      </w:r>
      <w:r>
        <w:rPr>
          <w:b/>
          <w:i w:val="0"/>
        </w:rPr>
        <w:t xml:space="preserve">Điều 1. </w:t>
      </w:r>
      <w:r>
        <w:rPr>
          <w:b w:val="0"/>
          <w:i w:val="0"/>
        </w:rPr>
        <w:t>Điều chỉnh Phương án sắp xếp đối với một số công ty thuộc Tổng công ty Hoá chất Việt Nam đến năm 2006 như phụ lục kèm theo.</w:t>
      </w:r>
      <w:r>
        <w:rPr>
          <w:b w:val="0"/>
          <w:i w:val="0"/>
        </w:rPr>
        <w:br/>
      </w:r>
      <w:r>
        <w:rPr>
          <w:b/>
          <w:i w:val="0"/>
        </w:rPr>
        <w:t xml:space="preserve">Điều 2. </w:t>
      </w:r>
      <w:r>
        <w:rPr>
          <w:b w:val="0"/>
          <w:i w:val="0"/>
        </w:rPr>
        <w:t>Bộ trưởng Bộ Công nghiệp có trách nhiệm;</w:t>
      </w:r>
      <w:r>
        <w:rPr>
          <w:b w:val="0"/>
          <w:i w:val="0"/>
        </w:rPr>
        <w:br/>
      </w:r>
      <w:r>
        <w:rPr>
          <w:b w:val="0"/>
          <w:i w:val="0"/>
        </w:rPr>
        <w:t>1. Chỉ đạo thực hiện việc sắp xếp, đổi mới công ty nhà nước trực thuộc Tổng công ty Hoá chất Việt Nam theo đúng nội dung và tiến độ đã được phê duyệt tại Quyết định số 183/QĐ-TTg ngày 19 tháng 02 năm 2003 và Quyết định này.</w:t>
      </w:r>
      <w:r>
        <w:rPr>
          <w:b w:val="0"/>
          <w:i w:val="0"/>
        </w:rPr>
        <w:br/>
      </w:r>
      <w:r>
        <w:rPr>
          <w:b w:val="0"/>
          <w:i w:val="0"/>
        </w:rPr>
        <w:t>2. Chỉ đạo Tổng công ty Hoá chất Việt Nam căn cứ Quyết định số 155/2004/QĐ-TTg ngày 24 tháng 8 năm 2004 của Thủ tướng Chính phủ, rà soát để bán tiếp cổ phần Nhà nước ở những công ty cổ phần có vốn của Tổng công ty.</w:t>
      </w:r>
      <w:r>
        <w:rPr>
          <w:b w:val="0"/>
          <w:i w:val="0"/>
        </w:rPr>
        <w:br/>
      </w:r>
      <w:r>
        <w:rPr>
          <w:b w:val="0"/>
          <w:i w:val="0"/>
        </w:rPr>
        <w:t>3. Chỉ đạo Tổng công ty Hoá chất Việt Nam xây dựng Đề án chuyển Tổng công ty Hoá chất Việt Nam sang hoạt động theo mô hình công ty mẹ - công ty con theo quy định của pháp luật, trình Thủ tướng Chính phủ vào quý III năm 2005.</w:t>
      </w:r>
      <w:r>
        <w:rPr>
          <w:b w:val="0"/>
          <w:i w:val="0"/>
        </w:rPr>
        <w:br/>
      </w:r>
      <w:r>
        <w:rPr>
          <w:b/>
          <w:i w:val="0"/>
        </w:rPr>
        <w:t xml:space="preserve">Điều 3. </w:t>
      </w:r>
      <w:r>
        <w:rPr>
          <w:b w:val="0"/>
          <w:i w:val="0"/>
        </w:rPr>
        <w:t>Quyết định này có hiệu lực sau 15 ngày, kể từ ngày đăng Công báo.</w:t>
      </w:r>
      <w:r>
        <w:rPr>
          <w:b w:val="0"/>
          <w:i w:val="0"/>
        </w:rPr>
        <w:br/>
      </w:r>
      <w:r>
        <w:rPr>
          <w:b w:val="0"/>
          <w:i w:val="0"/>
        </w:rPr>
        <w:t>Bộ trưởng Bộ Công nghiệp; Hội đồng quản trị, Tổng giám đốc Tổng công ty Hoá chất Việt Nam và Thủ trưởng các cơ quan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THỦ TƯỚNG CHÍNH PHỦ</w:t>
            </w:r>
            <w:r>
              <w:br/>
            </w:r>
            <w:r>
              <w:rPr>
                <w:b/>
                <w:i w:val="0"/>
              </w:rPr>
              <w:br/>
              <w:t xml:space="preserve">          ******</w:t>
            </w:r>
          </w:p>
        </w:tc>
        <w:tc>
          <w:tcPr>
            <w:tcW w:type="dxa" w:w="2880"/>
          </w:tcPr>
          <w:p>
            <w:r>
              <w:rPr>
                <w:b w:val="0"/>
                <w:i w:val="0"/>
              </w:rPr>
              <w:br/>
            </w:r>
            <w:r>
              <w:rPr>
                <w:b/>
                <w:i w:val="0"/>
              </w:rPr>
              <w:t xml:space="preserve"> </w:t>
            </w:r>
          </w:p>
        </w:tc>
        <w:tc>
          <w:tcPr>
            <w:tcW w:type="dxa" w:w="288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i w:val="0"/>
              </w:rPr>
              <w:t xml:space="preserve"> </w:t>
            </w:r>
          </w:p>
        </w:tc>
        <w:tc>
          <w:tcPr>
            <w:tcW w:type="dxa" w:w="2880"/>
          </w:tcPr>
          <w:p>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