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891/QĐ-TTg Về Dự án đầu tư Khu nhà ở du lịch giải trí bờ sông Sài Gòn, thành phố Hồ Chí Minh.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891/QĐ-TTg</w:t>
        <w:br/>
        <w:t xml:space="preserve">     </w:t>
      </w:r>
      <w:r>
        <w:rPr>
          <w:b w:val="0"/>
          <w:i w:val="0"/>
        </w:rPr>
        <w:br/>
      </w:r>
      <w:r>
        <w:rPr>
          <w:b w:val="0"/>
          <w:i/>
        </w:rPr>
        <w:br/>
      </w:r>
      <w:r>
        <w:rPr>
          <w:b w:val="0"/>
          <w:i/>
        </w:rPr>
        <w:t>Hà Nội, ngày 20 tháng 9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891/QĐ-TTg</w:t>
        <w:br/>
        <w:t xml:space="preserve">     </w:t>
      </w:r>
      <w:r>
        <w:rPr>
          <w:b w:val="0"/>
          <w:i w:val="0"/>
        </w:rPr>
        <w:br/>
      </w:r>
      <w:r>
        <w:rPr>
          <w:b w:val="0"/>
          <w:i/>
        </w:rPr>
        <w:br/>
      </w:r>
      <w:r>
        <w:rPr>
          <w:b w:val="0"/>
          <w:i/>
        </w:rPr>
        <w:t>Hà Nội, ngày 20 tháng 9 năm 1999</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891/QĐ-TTg</w:t>
        <w:br/>
        <w:t xml:space="preserve">     </w:t>
      </w:r>
      <w:r>
        <w:rPr>
          <w:b w:val="0"/>
          <w:i w:val="0"/>
        </w:rPr>
        <w:br/>
      </w:r>
      <w:r>
        <w:rPr>
          <w:b w:val="0"/>
          <w:i/>
        </w:rPr>
        <w:br/>
      </w:r>
      <w:r>
        <w:rPr>
          <w:b w:val="0"/>
          <w:i/>
        </w:rPr>
        <w:t>Hà Nội, ngày 20 tháng 9 năm 1999</w:t>
      </w:r>
      <w:r>
        <w:rPr>
          <w:b w:val="0"/>
          <w:i/>
        </w:rPr>
        <w:br/>
      </w:r>
      <w:r>
        <w:rPr>
          <w:b w:val="0"/>
          <w:i w:val="0"/>
        </w:rPr>
        <w:br/>
      </w:r>
    </w:p>
    <w:p>
      <w:pPr>
        <w:jc w:val="center"/>
      </w:pPr>
      <w:r>
        <w:rPr>
          <w:b w:val="0"/>
          <w:i w:val="0"/>
        </w:rPr>
        <w:br/>
        <w:t xml:space="preserve">      Số: 891/QĐ-TTg</w:t>
        <w:br/>
        <w:t xml:space="preserve">     </w:t>
      </w:r>
    </w:p>
    <w:p>
      <w:pPr>
        <w:jc w:val="center"/>
      </w:pPr>
      <w:r>
        <w:rPr>
          <w:b w:val="0"/>
          <w:i w:val="0"/>
        </w:rPr>
        <w:br/>
      </w:r>
      <w:r>
        <w:rPr>
          <w:b w:val="0"/>
          <w:i/>
        </w:rPr>
        <w:t>Hà Nội, ngày 20 tháng 9 năm 1999</w:t>
      </w:r>
      <w:r>
        <w:rPr>
          <w:b w:val="0"/>
          <w:i w:val="0"/>
        </w:rPr>
        <w:br/>
      </w:r>
    </w:p>
    <w:p>
      <w:r>
        <w:rPr>
          <w:b/>
          <w:i w:val="0"/>
        </w:rPr>
        <w:t>QUYẾT ĐỊNH</w:t>
      </w:r>
    </w:p>
    <w:p>
      <w:r>
        <w:rPr>
          <w:b/>
          <w:i/>
        </w:rPr>
        <w:t>Dự án đầu tư khu nhà ở du lịch - giải trí bờ sông Sài Gòn,</w:t>
      </w:r>
    </w:p>
    <w:p>
      <w:r>
        <w:rPr>
          <w:b/>
          <w:i/>
        </w:rPr>
        <w:t xml:space="preserve"> thành phố Hồ Chí Minh</w:t>
      </w:r>
    </w:p>
    <w:p>
      <w:r>
        <w:rPr>
          <w:b/>
          <w:i w:val="0"/>
        </w:rPr>
        <w:t>___________</w:t>
      </w:r>
    </w:p>
    <w:p>
      <w:r>
        <w:rPr>
          <w:b/>
          <w:i w:val="0"/>
        </w:rPr>
        <w:t>THỦ TƯỚNG CHÍNH PHỦ</w:t>
      </w:r>
    </w:p>
    <w:p>
      <w:r>
        <w:rPr>
          <w:b w:val="0"/>
          <w:i/>
        </w:rPr>
        <w:t>Căn cứ Luật Tổ chức Chính phủ ngày 30 tháng 9 năm 1992;</w:t>
      </w:r>
    </w:p>
    <w:p>
      <w:r>
        <w:rPr>
          <w:b w:val="0"/>
          <w:i/>
        </w:rPr>
        <w:t>Căn cứ Nghị định số 52/CP ngày 08 tháng 7 năm 1999 về Quy chế quản lý đầu tư và xây dựng của Chính phủ;</w:t>
      </w:r>
    </w:p>
    <w:p>
      <w:r>
        <w:rPr>
          <w:b w:val="0"/>
          <w:i/>
        </w:rPr>
        <w:t>Xét đề nghị của Uỷ ban nhân dân thành phố Hồ Chí Minh (Công văn số 1798/CV-UB-QLDA ngày 14 tháng 5 năm 1999, số 3388/CV-UB-QLĐT ngày 18 tháng 8 năm 1999) và ý kiến thẩm định của Bộ Kế hoạch và Đầu tư (Công văn só 5621 BKH/VPTĐ ngày 26 tháng 8 năm 1999) về Dự án đầu tư khu nhà ở du lịch - giải trí bờ sông Sài Gòn, thành phố Hồ Chí Minh.</w:t>
      </w:r>
    </w:p>
    <w:p>
      <w:r>
        <w:rPr>
          <w:b/>
          <w:i w:val="0"/>
        </w:rPr>
        <w:t>QUYẾT ĐỊNH:</w:t>
      </w:r>
    </w:p>
    <w:p>
      <w:r>
        <w:rPr>
          <w:b/>
          <w:i w:val="0"/>
        </w:rPr>
        <w:t xml:space="preserve">Điều 1. </w:t>
      </w:r>
      <w:r>
        <w:rPr>
          <w:b w:val="0"/>
          <w:i w:val="0"/>
        </w:rPr>
        <w:t xml:space="preserve">Phê duyệt Dự án đầu tư khu nhà ở du lịch - giải trí bờ sông Sài Gòn, thành phố Hồ Chí Minh với các nội dung chính sau đây: </w:t>
      </w:r>
    </w:p>
    <w:p>
      <w:r>
        <w:rPr>
          <w:b w:val="0"/>
          <w:i w:val="0"/>
        </w:rPr>
        <w:t>1. Tên dự án: Dự án đầu tư khu nhà ở du lịch - giải trí bờ sông Sài Gòn, thành phố Hồ Chí Minh.</w:t>
      </w:r>
    </w:p>
    <w:p>
      <w:r>
        <w:rPr>
          <w:b w:val="0"/>
          <w:i w:val="0"/>
        </w:rPr>
        <w:t>2. Mục tiêu đầu tư: Đầu tư để xây dựng một điểm đô thị bao gồm nhà ở đa dạng, các công trình công cộng, trung tâm thương mại, công trình dịch vụ để đáp ứng nhu cầu và góp phần tạo cảnh quan sông Sài Gòn, góp phần hoàn chỉnh việc phát triển đô thị theo quy hoạch tổng thể thành phố Hồ Chí Minh.</w:t>
      </w:r>
    </w:p>
    <w:p>
      <w:r>
        <w:rPr>
          <w:b w:val="0"/>
          <w:i w:val="0"/>
        </w:rPr>
        <w:t>3. Chủ đầu tư: Công ty Quản lý và pháp triển nhà quận Bình Thạnh thuộc Tổng Công ty địa ốc Sài Gòn.</w:t>
      </w:r>
    </w:p>
    <w:p>
      <w:r>
        <w:rPr>
          <w:b w:val="0"/>
          <w:i w:val="0"/>
        </w:rPr>
        <w:t>4. Địa điểm xây dựng và diện tích chiếm đất:</w:t>
      </w:r>
    </w:p>
    <w:p>
      <w:r>
        <w:rPr>
          <w:b w:val="0"/>
          <w:i w:val="0"/>
        </w:rPr>
        <w:t>Địa điểm xây dựng thuộc địa phận phường 25, quận Bình Thạnh, thành phố Hồ Chí Minh.</w:t>
      </w:r>
    </w:p>
    <w:p>
      <w:r>
        <w:rPr>
          <w:b w:val="0"/>
          <w:i w:val="0"/>
        </w:rPr>
        <w:t>Diện tích chiếm đất: khu đất xây dựng có diện tích 21 ha.</w:t>
      </w:r>
    </w:p>
    <w:p>
      <w:r>
        <w:rPr>
          <w:b w:val="0"/>
          <w:i w:val="0"/>
        </w:rPr>
        <w:t>Ranh giới, vị trí cụ thể do Uỷ ban nhân dân thành phố Hồ Chí Minh xác định phù hợp với quy hoạch chi tiết của khu vực.</w:t>
      </w:r>
    </w:p>
    <w:p>
      <w:r>
        <w:rPr>
          <w:b w:val="0"/>
          <w:i w:val="0"/>
        </w:rPr>
        <w:t>5. Quy mô dự án:</w:t>
      </w:r>
    </w:p>
    <w:p>
      <w:r>
        <w:rPr>
          <w:b w:val="0"/>
          <w:i w:val="0"/>
        </w:rPr>
        <w:t>- Khu nhà ở biệt thự: 194 nền;</w:t>
      </w:r>
    </w:p>
    <w:p>
      <w:r>
        <w:rPr>
          <w:b w:val="0"/>
          <w:i w:val="0"/>
        </w:rPr>
        <w:t>- Nhà chung cư cao cấp: 212 căn hộ, 12 tầng, diện tích sàn 21.600 m2.</w:t>
      </w:r>
    </w:p>
    <w:p>
      <w:r>
        <w:rPr>
          <w:b w:val="0"/>
          <w:i w:val="0"/>
        </w:rPr>
        <w:t>- Nhà liên kế: 56 nền;</w:t>
      </w:r>
    </w:p>
    <w:p>
      <w:r>
        <w:rPr>
          <w:b w:val="0"/>
          <w:i w:val="0"/>
        </w:rPr>
        <w:t>- Nhà chung cư: 318 căn, 6 tầng, diện tích sàn 32.652 m2;</w:t>
      </w:r>
    </w:p>
    <w:p>
      <w:r>
        <w:rPr>
          <w:b w:val="0"/>
          <w:i w:val="0"/>
        </w:rPr>
        <w:t>- Câu lạc bộ nghỉ ngơi, giải trí bờ sông: diện tích đất 6.500 m2, 01 tầng;</w:t>
      </w:r>
    </w:p>
    <w:p>
      <w:r>
        <w:rPr>
          <w:b w:val="0"/>
          <w:i w:val="0"/>
        </w:rPr>
        <w:t>- Nhà trẻ mẫu giáo: 2 tầng, diện tích sàn 1.512 m2;</w:t>
      </w:r>
    </w:p>
    <w:p>
      <w:r>
        <w:rPr>
          <w:b w:val="0"/>
          <w:i w:val="0"/>
        </w:rPr>
        <w:t>- Trường phổ thông: 3 tầng, diện tích sàn 4.166 m2;</w:t>
      </w:r>
    </w:p>
    <w:p>
      <w:r>
        <w:rPr>
          <w:b w:val="0"/>
          <w:i w:val="0"/>
        </w:rPr>
        <w:t>- Hệ thống hạ tầng kỹ thuật: Đường nội bộ, cấp điện, cấp nước, tổ chức thoát nước, trong khuôn viên dự án đồng bộ với phần nhà ở và gắn liền với mạng lưới chung.</w:t>
      </w:r>
    </w:p>
    <w:p>
      <w:r>
        <w:rPr>
          <w:b w:val="0"/>
          <w:i w:val="0"/>
        </w:rPr>
        <w:t>- Khu trung tâm dịch vụ thương mại: tầng cao 15 tầng, diện tích xây dựng 2.500 m2, diện tích sàn 37.000 m2;</w:t>
      </w:r>
    </w:p>
    <w:p>
      <w:r>
        <w:rPr>
          <w:b w:val="0"/>
          <w:i w:val="0"/>
        </w:rPr>
        <w:t>- Khu cao ốc văn phòng, căn hộ cao cấp: tầng cao 30 tầng, diện tích đất xây dựng 2.500 m2;</w:t>
      </w:r>
    </w:p>
    <w:p>
      <w:r>
        <w:rPr>
          <w:b w:val="0"/>
          <w:i w:val="0"/>
        </w:rPr>
        <w:t>- Khu dịch vụ khách sạn cao cấp: 1 khối 15 tầng, 1 khối 25 tầng, 1 khối 30 tầng, diện tích đất xây dựng 2.500 m2;</w:t>
      </w:r>
    </w:p>
    <w:p>
      <w:r>
        <w:rPr>
          <w:b w:val="0"/>
          <w:i w:val="0"/>
        </w:rPr>
        <w:t>6. Quản lý thực hiện: Chủ đầu tư các hạng mục cơ sở hạ tầng kỹ thuật và chuyển quyền sử dụng đất có cơ sở hạ tầng, để dân tự xây dựng nhà ở theo quy hoạch, chung cư cao cấp, chung cư 6 tầng, nhà trẻ, nhà mẫu giáo, trường học, câu lạc bộ giải trí, cây xanh thực hiện việc liên doanh hoặc kêu gọi nhà đầu tư thứ phát đầu tư các hạng mục khách sạn văn phòng, trung tâm thương mại.</w:t>
      </w:r>
    </w:p>
    <w:p>
      <w:r>
        <w:rPr>
          <w:b w:val="0"/>
          <w:i w:val="0"/>
        </w:rPr>
        <w:t>Các hạng mục: trung tâm thương mại, cao ốc văn phòng, căn hộ cao cấp, khách sạn khi đầu tư sẽ lập, trình và quyết định đầu tư theo quy định hiện hành tại thời điểm đó.</w:t>
      </w:r>
    </w:p>
    <w:p>
      <w:r>
        <w:rPr>
          <w:b w:val="0"/>
          <w:i w:val="0"/>
        </w:rPr>
        <w:t>7. Thời gian thực hiện dự án: 5 năm</w:t>
      </w:r>
    </w:p>
    <w:p>
      <w:r>
        <w:rPr>
          <w:b w:val="0"/>
          <w:i w:val="0"/>
        </w:rPr>
        <w:t>8. Tổng mức đầu tư và nguồn vốn:</w:t>
      </w:r>
    </w:p>
    <w:p>
      <w:r>
        <w:rPr>
          <w:b w:val="0"/>
          <w:i w:val="0"/>
        </w:rPr>
        <w:t>- Tổng mức đầu tư không kể phần đầu tư hạng mục: trung tâm thương mại, cao ốc khách sạn, cao ốc văn phòng và căn hộ cao cấp: khoảng 252.790 triệu đồng (hai trăm năm mươi hai tỷ bảy trăm chín mươi triệu đồng).</w:t>
      </w:r>
    </w:p>
    <w:p>
      <w:r>
        <w:rPr>
          <w:b w:val="0"/>
          <w:i w:val="0"/>
        </w:rPr>
        <w:t>- Nguồn vốn: theo đề nghị của Uỷ ban nhân dân thành phố:</w:t>
      </w:r>
    </w:p>
    <w:p>
      <w:r>
        <w:rPr>
          <w:b w:val="0"/>
          <w:i w:val="0"/>
        </w:rPr>
        <w:t>+ Vốn tự có của chủ đầu tư;</w:t>
      </w:r>
    </w:p>
    <w:p>
      <w:r>
        <w:rPr>
          <w:b w:val="0"/>
          <w:i w:val="0"/>
        </w:rPr>
        <w:t>+ Vốn của đơn vị cùng hợp tác khai thác dự án;</w:t>
      </w:r>
    </w:p>
    <w:p>
      <w:r>
        <w:rPr>
          <w:b w:val="0"/>
          <w:i w:val="0"/>
        </w:rPr>
        <w:t>+ Vốn ứng trước của khách hàng, của đơn vị thi công;</w:t>
      </w:r>
    </w:p>
    <w:p>
      <w:r>
        <w:rPr>
          <w:b w:val="0"/>
          <w:i w:val="0"/>
        </w:rPr>
        <w:t>+ Vốn vay ngân hàng.</w:t>
      </w:r>
    </w:p>
    <w:p>
      <w:r>
        <w:rPr>
          <w:b w:val="0"/>
          <w:i w:val="0"/>
        </w:rPr>
        <w:t>9. Phương thức tổ chức thực hiện đầu tư: thực hiện theo quy định hiện hành.</w:t>
      </w:r>
    </w:p>
    <w:p>
      <w:r>
        <w:rPr>
          <w:b/>
          <w:i w:val="0"/>
        </w:rPr>
        <w:t>Điều 2.</w:t>
      </w:r>
    </w:p>
    <w:p>
      <w:r>
        <w:rPr>
          <w:b w:val="0"/>
          <w:i w:val="0"/>
        </w:rPr>
        <w:t>1. Chủ tịch Uỷ ban nhân dân thành phố Hồ Chí Minh có trách nhiệm chỉ đạo chủ đầu tư chấp hành các quy định của Nhà nước trong quá trình thực hiện đầu tư, quản lý, khai thác dự án.</w:t>
      </w:r>
    </w:p>
    <w:p>
      <w:r>
        <w:rPr>
          <w:b w:val="0"/>
          <w:i w:val="0"/>
        </w:rPr>
        <w:t>2. Công ty Quản lý và Phát triển nhà quận Bình Thạnh thành phố Hồ Chí Minh là chủ đầi tư có trách nhiệm thực hiện đầu tư đảm bảo nội dung quy định. Việc huy động vốn của khách hàng, vay ngân hàng, huy động các nhà đầu tư thứ phát tham gia đầu tư để thực hiện dự án cần tuân thủ theo các quy chế hiện hành liên quan trong lĩnh vực này.</w:t>
      </w:r>
    </w:p>
    <w:p>
      <w:r>
        <w:rPr>
          <w:b/>
          <w:i w:val="0"/>
        </w:rPr>
        <w:t>Điều 3.</w:t>
      </w:r>
      <w:r>
        <w:rPr>
          <w:b/>
          <w:i w:val="0"/>
        </w:rPr>
        <w:t xml:space="preserve"> </w:t>
      </w:r>
      <w:r>
        <w:rPr>
          <w:b w:val="0"/>
          <w:i w:val="0"/>
        </w:rPr>
        <w:t>Các Bộ trưởng: Bộ Kế hoạch và Đầu tư, Xây dựng, Tài chính, Khoa học, Công nghệ và Môi trường, Thống đốc Ngân hàng Nhà nước, Tổng cục trưởng Tổng cục Địa chính, Chủ tịch Uỷ ban nhân dân thành phố Hồ Chí Minh và Giám đốc Công ty Quản lý và phát triển nhà quận Bình Thạnh thuộc Tổng công ty Địa ốc Sài Gòn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t xml:space="preserve"> </w:t>
            </w:r>
            <w:r>
              <w:rPr>
                <w:b w:val="0"/>
                <w:i w:val="0"/>
              </w:rPr>
              <w:br/>
            </w:r>
            <w:r>
              <w:rPr>
                <w:b/>
                <w:i/>
              </w:rPr>
              <w:t>(Đã ký)</w:t>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