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90/2003/QĐ-BCN Về việc chuyển giao Nhà máy Thuốc lá Phú Yên về làm doanh nghiệp hạch toán phụ thuộc của Tổng công ty Khánh Việt.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CÔNG NGHIỆP                  </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val="0"/>
        </w:rPr>
        <w:t>QUYẾT ĐỊNH CỦA BỘ TRƯỞNG BỘ CÔNGNGHIỆP</w:t>
      </w:r>
    </w:p>
    <w:p>
      <w:pPr>
        <w:jc w:val="center"/>
      </w:pPr>
      <w:r>
        <w:rPr>
          <w:b/>
          <w:i w:val="0"/>
        </w:rPr>
        <w:t>Về việc chuyển giao Nhà máy Thuốc lá Phú Yên</w:t>
      </w:r>
    </w:p>
    <w:p>
      <w:pPr>
        <w:jc w:val="center"/>
      </w:pPr>
      <w:r>
        <w:rPr>
          <w:b/>
          <w:i w:val="0"/>
        </w:rPr>
        <w:t>về làm doanh nghiệp hạch toán phụ thuộc của Tổng công ty Khánh Việt</w:t>
      </w:r>
    </w:p>
    <w:p>
      <w:pPr>
        <w:jc w:val="center"/>
      </w:pPr>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Căn cứ Nghị định số 76/2001/NĐ-CP ngày 22 tháng 10 năm 2001 của Chính phủ về hoạt động sản xuất và kinh doanh thuốc lá;</w:t>
      </w:r>
    </w:p>
    <w:p>
      <w:pPr>
        <w:jc w:val="both"/>
      </w:pPr>
      <w:r>
        <w:rPr>
          <w:b w:val="0"/>
          <w:i/>
        </w:rPr>
        <w:t>Căn cứ Công văn số 371/CP-ĐMDN ngày 03 tháng 4 năm 2003 của Chính phủ về việc Tổng công ty Khánh Việt tiếp nhận 2 Nhà máy Thuốc lá Nghệ An, Phú Yên;</w:t>
      </w:r>
    </w:p>
    <w:p>
      <w:pPr>
        <w:jc w:val="both"/>
      </w:pPr>
      <w:r>
        <w:rPr>
          <w:b w:val="0"/>
          <w:i/>
        </w:rPr>
        <w:t>Theo đề nghị của Vụ trưởng Vụ Tổ chức - Cán bộ,</w:t>
      </w:r>
    </w:p>
    <w:p>
      <w:pPr>
        <w:jc w:val="center"/>
      </w:pPr>
      <w:r>
        <w:rPr>
          <w:b/>
          <w:i w:val="0"/>
        </w:rPr>
        <w:t>QUYẾT ĐỊNH</w:t>
      </w:r>
    </w:p>
    <w:p>
      <w:pPr>
        <w:jc w:val="both"/>
      </w:pPr>
      <w:r>
        <w:rPr>
          <w:b/>
          <w:i w:val="0"/>
        </w:rPr>
        <w:t>Điều 1</w:t>
      </w:r>
      <w:r>
        <w:rPr>
          <w:b/>
          <w:i w:val="0"/>
        </w:rPr>
        <w:t xml:space="preserve">. </w:t>
      </w:r>
      <w:r>
        <w:rPr>
          <w:b w:val="0"/>
          <w:i w:val="0"/>
        </w:rPr>
        <w:t>Chuyển giao nguyên trạng Nhà máy Thuốc lá Phú Yên về làm doanh nghiệp hạch toán phụ thuộc của Tổng công ty Khánh Việt tỉnh Khánh Hoà.</w:t>
      </w:r>
    </w:p>
    <w:p>
      <w:pPr>
        <w:jc w:val="both"/>
      </w:pPr>
      <w:r>
        <w:rPr>
          <w:b/>
          <w:i w:val="0"/>
        </w:rPr>
        <w:t>Điều 2.</w:t>
      </w:r>
      <w:r>
        <w:rPr>
          <w:b w:val="0"/>
          <w:i w:val="0"/>
        </w:rPr>
        <w:t xml:space="preserve"> Giao Tổng công ty Khánh Việt tổ chức tiếp nhận Nhà máy Thuốc lá Phú Yên theo đúng thủ tục quy định của Nhà nước</w:t>
      </w:r>
      <w:r>
        <w:rPr>
          <w:b/>
          <w:i w:val="0"/>
        </w:rPr>
        <w:t>.</w:t>
      </w:r>
    </w:p>
    <w:p>
      <w:pPr>
        <w:jc w:val="both"/>
      </w:pPr>
      <w:r>
        <w:rPr>
          <w:b/>
          <w:i w:val="0"/>
        </w:rPr>
        <w:t>Điều 3.</w:t>
      </w:r>
      <w:r>
        <w:rPr>
          <w:b/>
          <w:i w:val="0"/>
        </w:rPr>
        <w:t xml:space="preserve">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Hội đồng quản trị Tổng công ty Khánh Việt và Giám đốc Nhà máy Thuốc lá Phú Yên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rPr>
                <w:b w:val="0"/>
                <w:i w:val="0"/>
              </w:rPr>
              <w:t xml:space="preserve"> </w:t>
            </w:r>
            <w:r>
              <w:br/>
            </w:r>
            <w:r>
              <w:rPr>
                <w:b w:val="0"/>
                <w:i w:val="0"/>
              </w:rPr>
              <w:br/>
              <w:t xml:space="preserve">         - Như Điều 3, </w:t>
            </w:r>
            <w:r>
              <w:br/>
            </w:r>
            <w:r>
              <w:rPr>
                <w:b w:val="0"/>
                <w:i w:val="0"/>
              </w:rPr>
              <w:br/>
              <w:t xml:space="preserve">         - Văn phòng Chính phủ,</w:t>
            </w:r>
            <w:r>
              <w:br/>
            </w:r>
            <w:r>
              <w:rPr>
                <w:b w:val="0"/>
                <w:i w:val="0"/>
              </w:rPr>
              <w:br/>
              <w:t xml:space="preserve">         - Bộ Kế hoạch và Đầu tư,</w:t>
            </w:r>
            <w:r>
              <w:br/>
            </w:r>
            <w:r>
              <w:rPr>
                <w:b w:val="0"/>
                <w:i w:val="0"/>
              </w:rPr>
              <w:br/>
              <w:t xml:space="preserve">         - Bộ Tài chính,</w:t>
            </w:r>
            <w:r>
              <w:br/>
            </w:r>
            <w:r>
              <w:rPr>
                <w:b w:val="0"/>
                <w:i w:val="0"/>
              </w:rPr>
              <w:br/>
              <w:t xml:space="preserve">         - Bộ Nội vụ,</w:t>
            </w:r>
            <w:r>
              <w:br/>
            </w:r>
            <w:r>
              <w:rPr>
                <w:b w:val="0"/>
                <w:i w:val="0"/>
              </w:rPr>
              <w:br/>
              <w:t xml:space="preserve">         - Bộ Lao động-TB và XH, </w:t>
            </w:r>
            <w:r>
              <w:br/>
            </w:r>
            <w:r>
              <w:rPr>
                <w:b w:val="0"/>
                <w:i w:val="0"/>
              </w:rPr>
              <w:br/>
              <w:t xml:space="preserve">         - UBND tỉnh Khánh Hoà,</w:t>
            </w:r>
            <w:r>
              <w:br/>
            </w:r>
            <w:r>
              <w:rPr>
                <w:b w:val="0"/>
                <w:i w:val="0"/>
              </w:rPr>
              <w:br/>
              <w:t xml:space="preserve">         - UBND tỉnh Phú Yên,</w:t>
            </w:r>
            <w:r>
              <w:br/>
            </w:r>
            <w:r>
              <w:rPr>
                <w:b w:val="0"/>
                <w:i w:val="0"/>
              </w:rPr>
              <w:br/>
              <w:t xml:space="preserve">         - Đ/c Bộ trưởng (để b/c),</w:t>
            </w:r>
            <w:r>
              <w:br/>
            </w:r>
            <w:r>
              <w:rPr>
                <w:b w:val="0"/>
                <w:i w:val="0"/>
              </w:rPr>
              <w:br/>
              <w:t xml:space="preserve">         - Thứ trưởng Châu Huệ Cẩm,</w:t>
            </w:r>
            <w:r>
              <w:br/>
            </w:r>
            <w:r>
              <w:rPr>
                <w:b w:val="0"/>
                <w:i w:val="0"/>
              </w:rPr>
              <w:br/>
              <w:t xml:space="preserve">         - Công báo, </w:t>
            </w:r>
            <w:r>
              <w:br/>
            </w:r>
            <w:r>
              <w:rPr>
                <w:b w:val="0"/>
                <w:i w:val="0"/>
              </w:rPr>
              <w:br/>
              <w:t xml:space="preserve">         - Lưu VP, TCCB. </w:t>
            </w:r>
          </w:p>
        </w:tc>
        <w:tc>
          <w:tcPr>
            <w:tcW w:type="dxa" w:w="4320"/>
          </w:tcPr>
          <w:p>
            <w:r>
              <w:rPr>
                <w:b w:val="0"/>
                <w:i w:val="0"/>
              </w:rPr>
              <w:br/>
            </w:r>
            <w:r>
              <w:rPr>
                <w:b/>
                <w:i w:val="0"/>
              </w:rPr>
              <w:t>KT. BỘ TRƯỞNG BỘ CÔNG NGHIỆP</w:t>
            </w:r>
            <w:r>
              <w:br/>
            </w:r>
            <w:r>
              <w:rPr>
                <w:b/>
                <w:i w:val="0"/>
              </w:rPr>
              <w:t>THỨ TRƯỞNG</w:t>
            </w:r>
            <w:r>
              <w:br/>
            </w:r>
            <w:r>
              <w:br/>
            </w:r>
            <w:r>
              <w:rPr>
                <w:b/>
                <w:i/>
              </w:rPr>
              <w:t>(Đã ký)</w:t>
            </w:r>
            <w:r>
              <w:br/>
            </w:r>
            <w:r>
              <w:br/>
            </w:r>
            <w:r>
              <w:br/>
            </w:r>
            <w:r>
              <w:rPr>
                <w:b/>
                <w:i w:val="0"/>
              </w:rPr>
              <w:br/>
              <w:t xml:space="preserve">          Nguyễn Xuân Thuý</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