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90/2007/NQ-HĐND Về miễn thủy lợi phí nông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rPr>
                <w:b w:val="0"/>
                <w:i w:val="0"/>
              </w:rPr>
              <w:br/>
            </w:r>
            <w:r>
              <w:rPr>
                <w:b/>
                <w:i w:val="0"/>
              </w:rPr>
              <w:t>TỈNH HƯNG YÊN</w:t>
            </w:r>
            <w:r>
              <w:rPr>
                <w:b w:val="0"/>
                <w:i w:val="0"/>
              </w:rPr>
              <w:br/>
            </w:r>
            <w:r>
              <w:rPr>
                <w:b w:val="0"/>
                <w:i w:val="0"/>
              </w:rPr>
              <w:t>Số: 90/2007/NQ-HĐND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Hưng Yên, ngày 17 tháng 7 năm 2007</w:t>
            </w:r>
          </w:p>
        </w:tc>
      </w:tr>
    </w:tbl>
    <w:p>
      <w:r>
        <w:rPr>
          <w:b/>
          <w:i w:val="0"/>
        </w:rPr>
        <w:t>NGHỊ QUYẾT</w:t>
      </w:r>
    </w:p>
    <w:p>
      <w:r>
        <w:rPr>
          <w:b/>
          <w:i w:val="0"/>
        </w:rPr>
        <w:t>Về miễn thủy lợi phí nông nghiệp</w:t>
      </w:r>
    </w:p>
    <w:p>
      <w:r>
        <w:rPr>
          <w:b w:val="0"/>
          <w:i w:val="0"/>
        </w:rPr>
        <w:t>__________________</w:t>
      </w:r>
    </w:p>
    <w:p>
      <w:r>
        <w:rPr>
          <w:b/>
          <w:i w:val="0"/>
        </w:rPr>
        <w:t>HỘI ĐỒNG NHÂN DÂN TỈNH HƯNG YÊN</w:t>
      </w:r>
      <w:r>
        <w:br/>
      </w:r>
      <w:r>
        <w:rPr>
          <w:b/>
          <w:i w:val="0"/>
        </w:rPr>
        <w:br/>
        <w:t xml:space="preserve">      KHOÁ XIV - KỲ HỌP THỨ </w:t>
      </w:r>
      <w:r>
        <w:rPr>
          <w:b/>
          <w:i w:val="0"/>
        </w:rPr>
        <w:t>8</w:t>
      </w:r>
    </w:p>
    <w:p>
      <w:r>
        <w:rPr>
          <w:b w:val="0"/>
          <w:i/>
        </w:rPr>
        <w:t>Căn cứ Luật Tổ chức HĐND và UBND ngày 26 tháng 11 năm 2003;</w:t>
      </w:r>
    </w:p>
    <w:p>
      <w:r>
        <w:rPr>
          <w:b w:val="0"/>
          <w:i/>
        </w:rPr>
        <w:t>Căn cứ Pháp lệnh Khai thác và bảo vệ công trình thủy lợi ngày 04 tháng 4 năm 2001;</w:t>
      </w:r>
    </w:p>
    <w:p>
      <w:r>
        <w:rPr>
          <w:b w:val="0"/>
          <w:i/>
        </w:rPr>
        <w:t>Căn cứ Nghị định số 143/2003/NĐ-CP ngày 28 tháng 11 năm 2003 của Chính phủ Quy định chi tiết thi hành một số điều của Pháp lệnh Khai thác và bảo về công trình thủy lợi;</w:t>
      </w:r>
    </w:p>
    <w:p>
      <w:r>
        <w:rPr>
          <w:b w:val="0"/>
          <w:i/>
        </w:rPr>
        <w:t>Theo đề nghị của UBND tỉnh tại Tờ trình số 946/TTr-UBND ngày 12 tháng 7 năm 2007; báo cáo thẩm tra của Ban kinh tế Ngân sách và ý kiến của các đại biểu HĐND tỉnh.</w:t>
      </w:r>
    </w:p>
    <w:p>
      <w:r>
        <w:rPr>
          <w:b/>
          <w:i w:val="0"/>
        </w:rPr>
        <w:t>QUYẾT NGHỊ:</w:t>
      </w:r>
    </w:p>
    <w:p>
      <w:r>
        <w:rPr>
          <w:b/>
          <w:i w:val="0"/>
        </w:rPr>
        <w:t xml:space="preserve">I. </w:t>
      </w:r>
      <w:r>
        <w:rPr>
          <w:b w:val="0"/>
          <w:i w:val="0"/>
        </w:rPr>
        <w:t>Thực hiện miễn 100% thủy lợi phí theo mức thu thực tế của từng hộ nông dân sử dụng nước phục vụ sản xuất nông nghiệp hàng năm trong hạn mức. Trong trường hợp bơm tiêu úng được hỗ trợ tiền điện đối với diện tích thực tế bơm tiêu.</w:t>
      </w:r>
    </w:p>
    <w:p>
      <w:r>
        <w:rPr>
          <w:b w:val="0"/>
          <w:i w:val="0"/>
        </w:rPr>
        <w:t>- Hàng năm ngân sách tỉnh cấp bù số tiền miễn thu thủy lợi phí cho nông dân qua Công ty khai thác công trình thủy lợi và các xã, phường, thị trấn trên cơ sở hợp đồng dịch vụ tưới tiêu nước với các hộ nông dân.</w:t>
      </w:r>
    </w:p>
    <w:p>
      <w:r>
        <w:rPr>
          <w:b w:val="0"/>
          <w:i w:val="0"/>
        </w:rPr>
        <w:t>- Thời gian thực hiện: Từ vụ mùa năm 2007.</w:t>
      </w:r>
    </w:p>
    <w:p>
      <w:r>
        <w:rPr>
          <w:b/>
          <w:i w:val="0"/>
        </w:rPr>
        <w:t xml:space="preserve">II. </w:t>
      </w:r>
      <w:r>
        <w:rPr>
          <w:b w:val="0"/>
          <w:i w:val="0"/>
        </w:rPr>
        <w:t>Hội đồng nhân dân tỉnh lưu ý . Miễn giảm thủy lợi phí cho các hộ nông dân sử dụng nước vào mục đích sản xuất nông nghiệp để giảm bớt khó khăn, động viên nông dân tích cực đầu tư phát triển sản xuất, từng bước nâng cao đời sống do vậy phải đảm bảo các nguyên tắc sau:</w:t>
      </w:r>
    </w:p>
    <w:p>
      <w:r>
        <w:rPr>
          <w:b w:val="0"/>
          <w:i w:val="0"/>
        </w:rPr>
        <w:t>1. Rà soát, thống kê chính xác số diện tích và mức thu hiện tại của từng hộ nông dân sử dụng nước phục vụ sản xuất nông nghiệp làm căn cứ xác định kinh phí cấp bù.</w:t>
      </w:r>
    </w:p>
    <w:p>
      <w:r>
        <w:rPr>
          <w:b w:val="0"/>
          <w:i w:val="0"/>
        </w:rPr>
        <w:t>2. Khi bơm tiêu úng, chỉ hỗ trợ tiền điện đối với diện tích thực tế được bơm tiêu.</w:t>
      </w:r>
    </w:p>
    <w:p>
      <w:r>
        <w:rPr>
          <w:b w:val="0"/>
          <w:i w:val="0"/>
        </w:rPr>
        <w:t>3. Công ty khai thác công trình thủy lợi phải hoạt động theo đúng Luật Doanh nghiệp; củng cố tổ chức, tinh giảm bộ máy để hoạt động có hiệu quả và chất lượng hơn.</w:t>
      </w:r>
    </w:p>
    <w:p>
      <w:r>
        <w:rPr>
          <w:b w:val="0"/>
          <w:i w:val="0"/>
        </w:rPr>
        <w:t>4. Nâng cao tinh thần trách nhiệm, đảm bảo tưới tiêu nước phục vụ sản xuất nông nghiệp tốt hơn. Đối với những diện tích do thiếu tinh thần trách nhiệm, không được tưới tiêu kịp thời gây thiệt hại thì giảm cấp bù tương ứng số diện tích đó.</w:t>
      </w:r>
    </w:p>
    <w:p>
      <w:r>
        <w:rPr>
          <w:b w:val="0"/>
          <w:i w:val="0"/>
        </w:rPr>
        <w:t>5. Việc quản lý và cấp phát nguồn kinh phí tỉnh cấp bù từ ngân sách Nhà nước phải thực hiện đúng các quy định hiện hành, sử dụng có hiệu quả, đúng mục đích.</w:t>
      </w:r>
    </w:p>
    <w:p>
      <w:r>
        <w:rPr>
          <w:b/>
          <w:i w:val="0"/>
        </w:rPr>
        <w:t xml:space="preserve">III. </w:t>
      </w:r>
      <w:r>
        <w:rPr>
          <w:b w:val="0"/>
          <w:i w:val="0"/>
        </w:rPr>
        <w:t>Hội động nhân dân tỉnh giao Ủy ban nhân dân tỉnh tổ chức triển khai thực hiện Nghị quyết này; hàng năm cần tổ chức rút kinh nghiệm và báo cáo kết quả thực hiện tại kỳ họp Hội đồng nhân dân tỉnh.</w:t>
      </w:r>
    </w:p>
    <w:p>
      <w:r>
        <w:rPr>
          <w:b w:val="0"/>
          <w:i w:val="0"/>
        </w:rPr>
        <w:t>Nghị quyết này đã được Hội đồng nhân dân tỉnh khóa XIV- kỳ họp thứ 8 thông qua./.</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NHÂN DÂN</w:t>
            </w:r>
            <w:r>
              <w:rPr>
                <w:b w:val="0"/>
                <w:i w:val="0"/>
              </w:rPr>
              <w:br/>
            </w:r>
            <w:r>
              <w:rPr>
                <w:b/>
                <w:i w:val="0"/>
              </w:rPr>
              <w:t>CHỦ TỊCH</w:t>
            </w:r>
            <w:r>
              <w:rPr>
                <w:b w:val="0"/>
                <w:i w:val="0"/>
              </w:rPr>
              <w:br/>
            </w:r>
            <w:r>
              <w:rPr>
                <w:b/>
                <w:i/>
              </w:rPr>
              <w:t>(Đã ký)</w:t>
            </w:r>
            <w:r>
              <w:rPr>
                <w:b w:val="0"/>
                <w:i w:val="0"/>
              </w:rPr>
              <w:br/>
            </w:r>
            <w:r>
              <w:rPr>
                <w:b/>
                <w:i w:val="0"/>
              </w:rPr>
              <w:t>Nguyễn Đình Phách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