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92/2004/QĐ-BTC Về việc ban hành Hệ thống chỉ tiêu giám sát tài chính đối với công ty chứng khoán và công ty quản lý quỹ</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92/2004/QĐ-BTC</w:t>
      </w:r>
      <w:r>
        <w:rPr>
          <w:b w:val="0"/>
          <w:i w:val="0"/>
        </w:rPr>
        <w:br/>
      </w:r>
      <w:r>
        <w:rPr>
          <w:b w:val="0"/>
          <w:i w:val="0"/>
        </w:rPr>
        <w:br/>
      </w:r>
      <w:r>
        <w:rPr>
          <w:b w:val="0"/>
          <w:i/>
        </w:rPr>
        <w:br/>
      </w:r>
      <w:r>
        <w:rPr>
          <w:b w:val="0"/>
          <w:i/>
        </w:rPr>
        <w:t>Hà Nội, ngày 30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92/2004/QĐ-BTC</w:t>
      </w:r>
      <w:r>
        <w:rPr>
          <w:b w:val="0"/>
          <w:i w:val="0"/>
        </w:rPr>
        <w:br/>
      </w:r>
      <w:r>
        <w:rPr>
          <w:b w:val="0"/>
          <w:i w:val="0"/>
        </w:rPr>
        <w:br/>
      </w:r>
      <w:r>
        <w:rPr>
          <w:b w:val="0"/>
          <w:i/>
        </w:rPr>
        <w:br/>
      </w:r>
      <w:r>
        <w:rPr>
          <w:b w:val="0"/>
          <w:i/>
        </w:rPr>
        <w:t>Hà Nội, ngày 30 tháng 11 năm 2004</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92/2004/QĐ-BTC</w:t>
      </w:r>
      <w:r>
        <w:rPr>
          <w:b w:val="0"/>
          <w:i w:val="0"/>
        </w:rPr>
        <w:br/>
      </w:r>
      <w:r>
        <w:rPr>
          <w:b w:val="0"/>
          <w:i w:val="0"/>
        </w:rPr>
        <w:br/>
      </w:r>
      <w:r>
        <w:rPr>
          <w:b w:val="0"/>
          <w:i/>
        </w:rPr>
        <w:br/>
      </w:r>
      <w:r>
        <w:rPr>
          <w:b w:val="0"/>
          <w:i/>
        </w:rPr>
        <w:t>Hà Nội, ngày 30 tháng 11 năm 2004</w:t>
      </w:r>
      <w:r>
        <w:rPr>
          <w:b w:val="0"/>
          <w:i/>
        </w:rPr>
        <w:br/>
      </w:r>
      <w:r>
        <w:rPr>
          <w:b w:val="0"/>
          <w:i w:val="0"/>
        </w:rPr>
        <w:br/>
      </w:r>
    </w:p>
    <w:p>
      <w:pPr>
        <w:jc w:val="center"/>
      </w:pPr>
      <w:r>
        <w:rPr>
          <w:b w:val="0"/>
          <w:i w:val="0"/>
        </w:rPr>
        <w:br/>
      </w:r>
      <w:r>
        <w:rPr>
          <w:b w:val="0"/>
          <w:i w:val="0"/>
        </w:rPr>
        <w:t>Số: 92/2004/QĐ-BTC</w:t>
      </w:r>
      <w:r>
        <w:rPr>
          <w:b w:val="0"/>
          <w:i w:val="0"/>
        </w:rPr>
        <w:br/>
      </w:r>
    </w:p>
    <w:p>
      <w:pPr>
        <w:jc w:val="center"/>
      </w:pPr>
      <w:r>
        <w:rPr>
          <w:b w:val="0"/>
          <w:i w:val="0"/>
        </w:rPr>
        <w:br/>
      </w:r>
      <w:r>
        <w:rPr>
          <w:b w:val="0"/>
          <w:i w:val="0"/>
        </w:rPr>
        <w:t>Hà Nội, ngày 30 tháng 11 năm 2004</w:t>
      </w:r>
      <w:r>
        <w:rPr>
          <w:b w:val="0"/>
          <w:i w:val="0"/>
        </w:rPr>
        <w:br/>
      </w:r>
    </w:p>
    <w:p>
      <w:pPr>
        <w:jc w:val="center"/>
      </w:pPr>
      <w:r>
        <w:rPr>
          <w:b w:val="0"/>
          <w:i w:val="0"/>
        </w:rPr>
        <w:t>QUYẾT ĐỊNH CỦA BỘ TRƯỞNG BỘ TÀI CHÍNH</w:t>
      </w:r>
    </w:p>
    <w:p>
      <w:pPr>
        <w:jc w:val="center"/>
      </w:pPr>
      <w:r>
        <w:rPr>
          <w:b w:val="0"/>
          <w:i w:val="0"/>
        </w:rPr>
        <w:t>Về việc ban hành Hệ thống chỉ tiêu giám sát tài chính đối với công ty chứng khoán và công ty quản lý quỹ</w:t>
      </w:r>
    </w:p>
    <w:p>
      <w:r>
        <w:rPr>
          <w:b w:val="0"/>
          <w:i w:val="0"/>
        </w:rPr>
        <w:t>___________________________</w:t>
      </w:r>
    </w:p>
    <w:p>
      <w:r>
        <w:rPr>
          <w:b w:val="0"/>
          <w:i w:val="0"/>
        </w:rPr>
        <w:t xml:space="preserve"> </w:t>
      </w:r>
      <w:r>
        <w:rPr>
          <w:b/>
          <w:i w:val="0"/>
        </w:rPr>
        <w:t xml:space="preserve">BỘ TRƯỞNG BỘ TÀI CHÍNH </w:t>
      </w:r>
    </w:p>
    <w:p>
      <w:r>
        <w:rPr>
          <w:b w:val="0"/>
          <w:i/>
        </w:rPr>
        <w:t xml:space="preserve">Căn cứ Nghị định số 77/2003/NĐ-CP ngày 1/7/2003 của Chính phủ quy định chức năng, nhiệm vụ, quyền hạn và cơ cấu tổ chức của Bộ Tài chính; </w:t>
      </w:r>
    </w:p>
    <w:p>
      <w:r>
        <w:rPr>
          <w:b w:val="0"/>
          <w:i/>
        </w:rPr>
        <w:t>Căn cứ Nghị định số 144/2003/NĐ-CP ngày 28/11/2003 của Chính phủ về chứng khoán và thị trường chứng khoán;</w:t>
      </w:r>
    </w:p>
    <w:p>
      <w:r>
        <w:rPr>
          <w:b w:val="0"/>
          <w:i/>
        </w:rPr>
        <w:t>Theo đề nghị của Chủ tịch Uỷ ban Chứng khoán Nhà nước,</w:t>
      </w:r>
    </w:p>
    <w:p>
      <w:r>
        <w:rPr>
          <w:b/>
          <w:i w:val="0"/>
        </w:rPr>
        <w:t>QUYẾT ĐỊNH</w:t>
      </w:r>
    </w:p>
    <w:p>
      <w:r>
        <w:rPr>
          <w:b/>
          <w:i w:val="0"/>
        </w:rPr>
        <w:t xml:space="preserve">Điều 1. </w:t>
      </w:r>
      <w:r>
        <w:rPr>
          <w:b w:val="0"/>
          <w:i w:val="0"/>
        </w:rPr>
        <w:t>Ban hành kèm theo Quyết định này Hệ thống chỉ tiêu giám sát tài chính đối với công ty chứng khoán và công ty quản lý quỹ.</w:t>
      </w:r>
    </w:p>
    <w:p>
      <w:r>
        <w:rPr>
          <w:b/>
          <w:i w:val="0"/>
        </w:rPr>
        <w:t xml:space="preserve">Điều 2. </w:t>
      </w:r>
      <w:r>
        <w:rPr>
          <w:b w:val="0"/>
          <w:i w:val="0"/>
        </w:rPr>
        <w:t>Các công ty chứng khoán, công ty quản lý quỹ có trách nhiệm tính toán các chỉ tiêu giám sát và gửi kết quả cho Uỷ ban Chứng khoán Nhà nước và thời điểm nộp báo cáo tài chính hàng năm theo qui định.</w:t>
      </w:r>
    </w:p>
    <w:p>
      <w:r>
        <w:rPr>
          <w:b w:val="0"/>
          <w:i w:val="0"/>
        </w:rPr>
        <w:t>Trường hợp có những biến động bất thường, các công ty chứng khoán, công ty quản lý quỹ phải báo cáo, giải trình và phân tích rõ nguyên nhân với Uỷ ban chứng khoán Nhà nước và có biện pháp điều chỉnh, khắc phục kịp thời.</w:t>
      </w:r>
    </w:p>
    <w:p>
      <w:r>
        <w:rPr>
          <w:b/>
          <w:i w:val="0"/>
        </w:rPr>
        <w:t xml:space="preserve">Điều 3. </w:t>
      </w:r>
      <w:r>
        <w:rPr>
          <w:b w:val="0"/>
          <w:i w:val="0"/>
        </w:rPr>
        <w:t>Uỷ ban Chứng khoán Nhà nước có trách nhiệm phân tích, đánh giá kết quả hoạt động của các công ty chứng khoán và công ty quản lý quỹ thông qua Hệ thống chỉ tiêu giám sát tài chính đối với công ty chứng khoán và công ty quản lý quỹ và tiến hành các biện pháp kiểm tra, giám sát theo qui định của pháp luật.</w:t>
      </w:r>
    </w:p>
    <w:p>
      <w:r>
        <w:rPr>
          <w:b/>
          <w:i w:val="0"/>
        </w:rPr>
        <w:t xml:space="preserve">Điều 4. </w:t>
      </w:r>
      <w:r>
        <w:rPr>
          <w:b w:val="0"/>
          <w:i w:val="0"/>
        </w:rPr>
        <w:t>Quyết định này có hiệu lực sau 15 ngày kể từ ngày đăng Công báo và được áp dụng cho năm tài chính 2004.</w:t>
      </w:r>
    </w:p>
    <w:p>
      <w:r>
        <w:rPr>
          <w:b/>
          <w:i w:val="0"/>
        </w:rPr>
        <w:t xml:space="preserve">Điều 5. </w:t>
      </w:r>
      <w:r>
        <w:rPr>
          <w:b w:val="0"/>
          <w:i w:val="0"/>
        </w:rPr>
        <w:t>Chủ tịch Uỷ ban Chứng khoán Nhà nước, Chánh Văn phòng Bộ Tài chính, Tổng Giám đốc (Giám đốc) các công ty chứng khoán, công ty quản lý quỹ và Thủ trưởng các đơn vị có liên quan chịu trách nhiệm thi hành Quyết định này./.</w:t>
      </w:r>
    </w:p>
    <w:p>
      <w:r>
        <w:rPr>
          <w:b w:val="0"/>
          <w:i w:val="0"/>
        </w:rPr>
        <w:br/>
      </w:r>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Thị Băng Tâm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Thị Băng Tâm</w:t>
      </w:r>
      <w:r>
        <w:rPr>
          <w:b/>
          <w:i w:val="0"/>
        </w:rPr>
        <w:br/>
      </w:r>
      <w:r>
        <w:rPr>
          <w:b/>
          <w:i w:val="0"/>
        </w:rPr>
        <w:br/>
      </w:r>
      <w:r>
        <w:rPr>
          <w:b w:val="0"/>
          <w:i w:val="0"/>
        </w:rPr>
        <w:br/>
      </w:r>
    </w:p>
    <w:p>
      <w:pPr>
        <w:jc w:val="center"/>
      </w:pPr>
      <w:r>
        <w:rPr>
          <w:b w:val="0"/>
          <w:i w:val="0"/>
        </w:rPr>
        <w:br/>
      </w:r>
      <w:r>
        <w:rPr>
          <w:b/>
          <w:i w:val="0"/>
        </w:rPr>
        <w:br/>
      </w:r>
      <w:r>
        <w:rPr>
          <w:b/>
          <w:i w:val="0"/>
        </w:rPr>
        <w:t>KT. BỘ TRƯỞNG BỘ TÀI CHÍNH</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Thị Băng Tâm</w:t>
      </w:r>
      <w:r>
        <w:rPr>
          <w:b/>
          <w:i w:val="0"/>
        </w:rPr>
        <w:br/>
      </w:r>
      <w:r>
        <w:rPr>
          <w:b w:val="0"/>
          <w:i w:val="0"/>
        </w:rPr>
        <w:br/>
      </w:r>
    </w:p>
    <w:p>
      <w:r>
        <w:rPr>
          <w:b w:val="0"/>
          <w:i w:val="0"/>
        </w:rPr>
        <w:br/>
      </w:r>
      <w:r>
        <w:rPr>
          <w:b w:val="0"/>
          <w:i w:val="0"/>
        </w:rPr>
        <w:t>KT. BỘ TRƯỞNG BỘ TÀI CHÍNH</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Thị Băng Tâm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