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93-TC/QÐ/TCT về việc ban hành bảng giá tối thiểu tính lệ phí trước bạ tài sản ôtô, xe gắn máy</w:t>
      </w:r>
    </w:p>
    <w:p>
      <w:pPr>
        <w:jc w:val="center"/>
      </w:pPr>
      <w:r>
        <w:rPr>
          <w:b/>
          <w:i w:val="0"/>
        </w:rPr>
        <w:t>QUYẾT ĐỊNH</w:t>
      </w:r>
    </w:p>
    <w:p>
      <w:pPr>
        <w:jc w:val="center"/>
      </w:pPr>
      <w:r>
        <w:rPr>
          <w:b/>
          <w:i w:val="0"/>
        </w:rPr>
        <w:t>CỦA BỘ TRƯỞNG BỘ TÀI CHÍNH SỐ 93/TC/QĐ/TCT NGÀY 21 THÁNG 1 NĂM 1997 VỀ VIỆC BAN HÀNH BẢNG GIÁ TỐI THIỂU TÍNH LỆ PHÍ TRƯỚC BẠ TÀI SẢN ÔTÔ, XE GẮN MÁY</w:t>
      </w:r>
    </w:p>
    <w:p>
      <w:pPr>
        <w:jc w:val="center"/>
      </w:pPr>
      <w:r>
        <w:rPr>
          <w:b/>
          <w:i w:val="0"/>
        </w:rPr>
        <w:t xml:space="preserve"> </w:t>
      </w:r>
      <w:r>
        <w:rPr>
          <w:b/>
          <w:i w:val="0"/>
        </w:rPr>
        <w:t>BỘ TRƯỞNG BỘ TÀI CHÍNH</w:t>
      </w:r>
    </w:p>
    <w:p>
      <w:r>
        <w:rPr>
          <w:b w:val="0"/>
          <w:i/>
        </w:rPr>
        <w:t>- Căn cứ Nghị định số 15/CP ngày 2/3/1993 của Chính phủ về nhiệm vụ, quyền hạn và trách nhiệm quản lý Nhà nước của Bộ, cơ quan ngang Bộ;</w:t>
      </w:r>
    </w:p>
    <w:p>
      <w:r>
        <w:rPr>
          <w:b w:val="0"/>
          <w:i/>
        </w:rPr>
        <w:t>- Căn cứ Nghị định số 178/CP ngày 28/10/1994 của Chính phủ về nhiệm vụ, quyền hạn và tổ chức bộ máy của Bộ Tài chính;</w:t>
      </w:r>
    </w:p>
    <w:p>
      <w:r>
        <w:rPr>
          <w:b w:val="0"/>
          <w:i/>
        </w:rPr>
        <w:t>- Căn cứ Điều 4, Nghị định số 193/CP ngày 29/12/1994 của Chính phủ quy định về lệ phí trước bạ;</w:t>
      </w:r>
    </w:p>
    <w:p>
      <w:r>
        <w:rPr>
          <w:b w:val="0"/>
          <w:i/>
        </w:rPr>
        <w:t>Để việc tính, thu lệ phí trước bạ đối với ôtô, xe gắn máy được sát đúng với giá thị trường và chống thất thu ngân sách Nhà nước,</w:t>
      </w:r>
    </w:p>
    <w:p>
      <w:pPr>
        <w:jc w:val="center"/>
      </w:pPr>
      <w:r>
        <w:rPr>
          <w:b/>
          <w:i w:val="0"/>
        </w:rPr>
        <w:t>QUYẾT ĐỊNH:</w:t>
      </w:r>
    </w:p>
    <w:p>
      <w:r>
        <w:rPr>
          <w:b/>
          <w:i w:val="0"/>
        </w:rPr>
        <w:t>Điều 1.-</w:t>
      </w:r>
      <w:r>
        <w:rPr>
          <w:b w:val="0"/>
          <w:i w:val="0"/>
        </w:rPr>
        <w:t xml:space="preserve"> Ban hành kèm theo Quyết định này bảng giá tối thiểu tính lệ phí trước bạ đối với tài sản ôtô, xe gắn máy mới 100% để làm căn cứ hướng dẫn Uỷ ban nhân dân tỉnh, thành phố trực thuộc Trung ương (dưới đây gọi tắt là tỉnh) quy định giá tính lệ phí trước bạ tại địa phương, áp dụng đối với những trường hợp hoá đơn mua hàng không hợp lệ hoặc giá ghi trong hoá đơn thấp hơn giá bán thực tế hoặc không có hoá đơn mua hàng.</w:t>
      </w:r>
    </w:p>
    <w:p>
      <w:r>
        <w:rPr>
          <w:b w:val="0"/>
          <w:i w:val="0"/>
        </w:rPr>
        <w:t>Khi giá ôtô, xe gắn máy tại thị trường địa phương biến động từ 5% đến 20% thì Cục thuế trình Uỷ ban nhân dân tỉnh, thành phố quyết định điều chỉnh giá tính lệ phí trước bạ tại địa phương cho phù hợp với thực tế; trường hợp giá biến động trên 20% thì đề nghị với Bộ Tài chính có quyết định điều chỉnh giá tối thiểu tính lệ phí trước bạ thay cho giá tối thiểu đã ban hành kèm theo Quyết định này. Trong khi Bộ Tài chính chưa có quyết định sửa đổi giá tối thiểu thì Uỷ ban nhân dân tỉnh tạm thời quy định để tránh ách tắc công tác thu lệ phí trước bạ.</w:t>
      </w:r>
    </w:p>
    <w:p>
      <w:r>
        <w:rPr>
          <w:b/>
          <w:i w:val="0"/>
        </w:rPr>
        <w:t>Điều 2.-</w:t>
      </w:r>
      <w:r>
        <w:rPr>
          <w:b w:val="0"/>
          <w:i w:val="0"/>
        </w:rPr>
        <w:t xml:space="preserve"> Uỷ ban nhân dân tỉnh (hoặc Cục trưởng Cục thuế nếu được uỷ quyền) quyết định ban hành bảng giá tính lệ phí trước bạ ôtô, xe gắn máy áp dụng tại địa phương căn cứ vào các yếu tố sau đây:</w:t>
      </w:r>
    </w:p>
    <w:p>
      <w:r>
        <w:rPr>
          <w:b w:val="0"/>
          <w:i w:val="0"/>
        </w:rPr>
        <w:t>1- Bảng giá chuẩn tối thiểu ban hành kèm theo Quyết định này;</w:t>
      </w:r>
    </w:p>
    <w:p>
      <w:r>
        <w:rPr>
          <w:b w:val="0"/>
          <w:i w:val="0"/>
        </w:rPr>
        <w:t>2- Giá thực tế ôtô, xe gắn máy tại thị trường địa phương trong từng thời kỳ.</w:t>
      </w:r>
    </w:p>
    <w:p>
      <w:r>
        <w:rPr>
          <w:b w:val="0"/>
          <w:i w:val="0"/>
        </w:rPr>
        <w:t>Trường hợp không đủ các yếu tố quy định tại Khoản 1, Khoản 2 Điều này thì căn cứ vào giá nhập khẩu (CIF), cộng (+) thêm các khoản thuế (thuế nhập khẩu và thuế tiêu thụ đặc biệt) quy định đối với loại ôtô, xe gắn máy đó và tham khảo thêm giá thực tế của thị trường tỉnh, thành phố khác lân cận để quy định giá tính lệ phí trước bạ tại địa phương mình, bảo đảm nguyên tắc xác định giá tính lệ phí trước bạ quy định tại Điều 4, Nghị định số 193/CP ngày 29/12/1994 của Chính phủ quy định về lệ phí trước bạ.</w:t>
      </w:r>
    </w:p>
    <w:p>
      <w:r>
        <w:rPr>
          <w:b/>
          <w:i w:val="0"/>
        </w:rPr>
        <w:t>Điều 3.-</w:t>
      </w:r>
      <w:r>
        <w:rPr>
          <w:b/>
          <w:i w:val="0"/>
        </w:rPr>
        <w:t xml:space="preserve"> </w:t>
      </w:r>
      <w:r>
        <w:rPr>
          <w:b w:val="0"/>
          <w:i w:val="0"/>
        </w:rPr>
        <w:t>Giá trị ôtô, xe gắn máy tính lệ phí trước bạ là giá thực tế ghi trên hoá đơn bán hàng (loại hoá đơn do Bộ Tài chính phát hành) hoặc giá trị thực tế của ôtô, xe gắn máy do người nộp lệ phí trước bạ tự kê khai (trong trường hợp không nhất thiết phải có hoá đơn theo quy định), nhưng không được thấp hơn mức giá tính lệ phí trước bạ do Uỷ ban nhân dân tỉnh, thành phố trực thuộc Trung ương quy định theo quy định tại Quyết định này. Trong một số trường hợp áp dụng giá tính lệ phí trước bạ theo quy định sau đây:</w:t>
      </w:r>
    </w:p>
    <w:p>
      <w:r>
        <w:rPr>
          <w:b w:val="0"/>
          <w:i w:val="0"/>
        </w:rPr>
        <w:t>1) Ôtô, xe gắn máy mới (100%) do các tổ chức trong nước (bao gồm cả đơn vị có vốn đầu tư nước ngoài) được cơ quan Nhà nước có thẩm quyền cấp giấy phép sản xuất, lắp ráp tại Việt Nam, trực tiếp bán cho các đối tượng đăng ký chủ sở hữu, sử dụng thì giá tính lệ phí trước bạ là giá bán thực tế ghi trên hoá đơn bán hàng (loại hoá đơn do Bộ Tài chính phát hành);</w:t>
      </w:r>
    </w:p>
    <w:p>
      <w:r>
        <w:rPr>
          <w:b w:val="0"/>
          <w:i w:val="0"/>
        </w:rPr>
        <w:t>2) Ôtô, xe gắn máy cũ được xác định trên cơ sở tỷ lệ (%) chất lượng thực tế ôtô, xe gắn máy lúc trước bạ, nhân (x) giá ôtô, xe gắn máy mới (100%). Nhưng mức giá tính lệ phí trước bạ ôtô, xe gắn máy tối thiểu không thấp hơn 40% (bốn mươi phần trăm) giá ôtô, xe gắn máy tương ứng mới (100%) do Uỷ ban nhân dân tỉnh, thành phố trực thuộc Trung ương quy định theo quy định tại Quyết định này.</w:t>
      </w:r>
    </w:p>
    <w:p>
      <w:r>
        <w:rPr>
          <w:b w:val="0"/>
          <w:i w:val="0"/>
        </w:rPr>
        <w:t>Riêng trường hợp mua ôtô, xe gắn máy thanh lý, lúc đăng ký (sau khi đã sửa chữa) nếu chất lượng thực tế lúc trước bạ thấp hơn 40% chất lượng tài sản mới (100%) thì phải được cơ quan quản lý Nhà nước về bảo đảm trật tự an toàn giao thông đường bộ kiểm định kỹ thuật và cho phép lưu hành thì được tính thu lệ phí trước bạ theo tỷ lệ chất lượng còn lại do cơ quan quản lý Nhà nước về bảo đảm trật tự an toàn giao thông đường bộ kiểm định.</w:t>
      </w:r>
    </w:p>
    <w:p>
      <w:r>
        <w:rPr>
          <w:b/>
          <w:i w:val="0"/>
        </w:rPr>
        <w:t>Điều 4.-</w:t>
      </w:r>
      <w:r>
        <w:rPr>
          <w:b/>
          <w:i w:val="0"/>
        </w:rPr>
        <w:t xml:space="preserve"> </w:t>
      </w:r>
      <w:r>
        <w:rPr>
          <w:b w:val="0"/>
          <w:i w:val="0"/>
        </w:rPr>
        <w:t>Cục thuế các tỉnh, thành phố trực thuộc Trung ương có trách nhiệm:</w:t>
      </w:r>
    </w:p>
    <w:p>
      <w:r>
        <w:rPr>
          <w:b w:val="0"/>
          <w:i w:val="0"/>
        </w:rPr>
        <w:t>1) Phối hợp với cơ quan liên quan ở địa phương để xác định và trình Uỷ ban nhân dân tỉnh, thành phố ban hành bảng giá tính lệ phí trước bạ áp dụng tại địa phương theo quy định tại Điều 1, Điều 2 Quyết định này. Chậm nhất sau 30 ngày kể từ ngày ban hành bảng giá tính lệ phí trước bạ phải báo cáo Bộ Tài chính (Tổng cục thuế).</w:t>
      </w:r>
    </w:p>
    <w:p>
      <w:r>
        <w:rPr>
          <w:b w:val="0"/>
          <w:i w:val="0"/>
        </w:rPr>
        <w:t>2) Kiểm tra, đánh giá tỷ lệ phần trăm (%) chất lượng thực tế còn lại của từng tài sản lúc trước bạ và căn cứ vào giá tính lệ phí trước bạ ôtô, xe gắn máy mới (100%) quy định tại bảng giá tính lệ phí trước bạ áp dụng tại địa phương để tính thu lệ phí trước bạ theo đúng quy định tại Điều 4, Nghị định số 193/CP ngày 29/12/1994 của Chính phủ và quy định tại Quyết định này (trừ ôtô, xe gắn máy mới 100% không phải kiểm tra, đánh giá chất lượng).</w:t>
      </w:r>
    </w:p>
    <w:p>
      <w:r>
        <w:rPr>
          <w:b/>
          <w:i w:val="0"/>
        </w:rPr>
        <w:t>Điều 5.-</w:t>
      </w:r>
      <w:r>
        <w:rPr>
          <w:b/>
          <w:i w:val="0"/>
        </w:rPr>
        <w:t xml:space="preserve"> </w:t>
      </w:r>
      <w:r>
        <w:rPr>
          <w:b w:val="0"/>
          <w:i w:val="0"/>
        </w:rPr>
        <w:t>Quyết định này có hiệu lực thi hành kể từ ngày 1/2/1997, thay thế Quyết định số 653 TC/TCT/QĐ ngày 23/6/1995 của Bộ trưởng Bộ Tài chính và các quy định khác của Bộ Tài chính. Chậm nhất sau 30 ngày kể từ ngày Quyết định có hiệu lực thi hành, các Quyết định về giá tính lệ phí trước bạ tài sản ôtô, xe máy hiện hành do Uỷ ban nhân dân tỉnh quyết định đều bãi bỏ và thực hiện theo Quyết định bảng giá mới cho tài sản ôtô, xe máy của các tỉnh, thành phố.</w:t>
      </w:r>
    </w:p>
    <w:p>
      <w:r>
        <w:rPr>
          <w:b/>
          <w:i w:val="0"/>
        </w:rPr>
        <w:t>Điều 6.-</w:t>
      </w:r>
      <w:r>
        <w:rPr>
          <w:b/>
          <w:i w:val="0"/>
        </w:rPr>
        <w:t xml:space="preserve"> </w:t>
      </w:r>
      <w:r>
        <w:rPr>
          <w:b w:val="0"/>
          <w:i w:val="0"/>
        </w:rPr>
        <w:t>Uỷ ban nhân dân tỉnh, thành phố, Sở Tài chính vật giá, Cục thuế các tỉnh, thành phố trực thuộc Trung ương, các cơ quan liên quan và các đối tượng nộp lệ phí trước bạ chịu trách nhiệm thi hành Quyết định này.</w:t>
      </w:r>
    </w:p>
    <w:p>
      <w:pPr>
        <w:jc w:val="center"/>
      </w:pPr>
      <w:r>
        <w:rPr>
          <w:b/>
          <w:i w:val="0"/>
        </w:rPr>
        <w:t>BẢNG GIÁ TỐI THIỂU TÍNH LỆ PHÍ TRƯỚC BẠ XE MÁY</w:t>
      </w:r>
    </w:p>
    <w:p>
      <w:pPr>
        <w:jc w:val="center"/>
      </w:pPr>
      <w:r>
        <w:rPr>
          <w:b w:val="0"/>
          <w:i/>
        </w:rPr>
        <w:t>(Ban hành kèm theo Quyết định số 93 TC/TCT/QĐ ngày 21/1/1997</w:t>
      </w:r>
      <w:r>
        <w:br/>
      </w:r>
      <w:r>
        <w:rPr>
          <w:b w:val="0"/>
          <w:i/>
        </w:rPr>
        <w:br/>
        <w:t xml:space="preserve">      của Bộ Tài chính)</w:t>
      </w:r>
    </w:p>
    <w:p>
      <w:r>
        <w:rPr>
          <w:b w:val="0"/>
          <w:i w:val="0"/>
        </w:rPr>
        <w:t>Đơn vị: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w:t>
            </w:r>
            <w:r>
              <w:br/>
            </w:r>
            <w:r>
              <w:rPr>
                <w:b/>
                <w:i w:val="0"/>
              </w:rPr>
              <w:br/>
              <w:t xml:space="preserve">          TT</w:t>
            </w:r>
          </w:p>
        </w:tc>
        <w:tc>
          <w:tcPr>
            <w:tcW w:type="dxa" w:w="2160"/>
          </w:tcPr>
          <w:p>
            <w:r>
              <w:rPr>
                <w:b w:val="0"/>
                <w:i w:val="0"/>
              </w:rPr>
              <w:br/>
            </w:r>
            <w:r>
              <w:rPr>
                <w:b/>
                <w:i w:val="0"/>
              </w:rPr>
              <w:t>Loại xe</w:t>
            </w:r>
          </w:p>
        </w:tc>
        <w:tc>
          <w:tcPr>
            <w:tcW w:type="dxa" w:w="2160"/>
          </w:tcPr>
          <w:p>
            <w:r>
              <w:rPr>
                <w:b w:val="0"/>
                <w:i w:val="0"/>
              </w:rPr>
              <w:br/>
            </w:r>
            <w:r>
              <w:rPr>
                <w:b/>
                <w:i w:val="0"/>
              </w:rPr>
              <w:t>Trị giá mới 100%</w:t>
            </w:r>
          </w:p>
        </w:tc>
        <w:tc>
          <w:tcPr>
            <w:tcW w:type="dxa" w:w="2160"/>
          </w:tcPr>
          <w:p>
            <w:r>
              <w:rPr>
                <w:b w:val="0"/>
                <w:i w:val="0"/>
              </w:rPr>
              <w:br/>
            </w:r>
            <w:r>
              <w:rPr>
                <w:b/>
                <w:i w:val="0"/>
              </w:rPr>
              <w:t xml:space="preserve">Ghi chú </w:t>
            </w:r>
          </w:p>
        </w:tc>
      </w:tr>
    </w:tbl>
    <w:p>
      <w:pPr>
        <w:jc w:val="center"/>
      </w:pPr>
      <w:r>
        <w:rPr>
          <w:b/>
          <w:i w:val="0"/>
        </w:rPr>
        <w:t>BẢNG GIÁ TỐI THIỂU TÍNH LỆ PHÍ TRƯỚC BẠ Ô TÔ</w:t>
      </w:r>
    </w:p>
    <w:p>
      <w:pPr>
        <w:jc w:val="center"/>
      </w:pPr>
      <w:r>
        <w:rPr>
          <w:b w:val="0"/>
          <w:i/>
        </w:rPr>
        <w:t>(Ban hành kèm theo Quyết định số 93 TC/TCT/QĐ ngày 21/1/1997</w:t>
      </w:r>
      <w:r>
        <w:br/>
      </w:r>
      <w:r>
        <w:rPr>
          <w:b w:val="0"/>
          <w:i/>
        </w:rPr>
        <w:br/>
        <w:t xml:space="preserve">      của Bộ Tài chính)</w:t>
      </w:r>
    </w:p>
    <w:p>
      <w:r>
        <w:rPr>
          <w:b w:val="0"/>
          <w:i w:val="0"/>
        </w:rPr>
        <w:t>Đơn vị: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xe</w:t>
            </w:r>
          </w:p>
        </w:tc>
        <w:tc>
          <w:tcPr>
            <w:tcW w:type="dxa" w:w="2160"/>
          </w:tcPr>
          <w:p>
            <w:r>
              <w:rPr>
                <w:b w:val="0"/>
                <w:i w:val="0"/>
              </w:rPr>
              <w:br/>
            </w:r>
            <w:r>
              <w:rPr>
                <w:b/>
                <w:i w:val="0"/>
              </w:rPr>
              <w:t>Trị giá</w:t>
            </w:r>
            <w:r>
              <w:br/>
            </w:r>
            <w:r>
              <w:rPr>
                <w:b/>
                <w:i w:val="0"/>
              </w:rPr>
              <w:br/>
              <w:t xml:space="preserve">          mới 100%</w:t>
            </w:r>
          </w:p>
        </w:tc>
        <w:tc>
          <w:tcPr>
            <w:tcW w:type="dxa" w:w="2160"/>
          </w:tcPr>
          <w:p>
            <w:r>
              <w:rPr>
                <w:b w:val="0"/>
                <w:i w:val="0"/>
              </w:rPr>
              <w:br/>
            </w:r>
            <w:r>
              <w:rPr>
                <w:b/>
                <w:i w:val="0"/>
              </w:rPr>
              <w:t xml:space="preserve">Ghi chú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