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94/2002/TT-BTC Hướng dẫn xác định chỉ tiêu vốn nhà nước và thu nộp ngân sách để phân loại doanh nghiệp theo Quyết định số 58/2002/QÐ-TTg ngày 26 tháng 4 năm 2002 của Thủ tướng Chính phủ</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TÀI CHÍNH</w:t>
            </w:r>
            <w:r>
              <w:br/>
            </w:r>
            <w:r>
              <w:rPr>
                <w:b/>
                <w:i w:val="0"/>
              </w:rPr>
              <w:br/>
              <w:t xml:space="preserve">          ********</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i w:val="0"/>
              </w:rPr>
              <w:br/>
              <w:t xml:space="preserve">          ********</w:t>
            </w:r>
          </w:p>
        </w:tc>
      </w:tr>
    </w:tbl>
    <w:p>
      <w:pPr>
        <w:jc w:val="center"/>
      </w:pPr>
      <w:r>
        <w:rPr>
          <w:b/>
          <w:i w:val="0"/>
        </w:rPr>
        <w:t>THÔNG TƯ</w:t>
      </w:r>
    </w:p>
    <w:p>
      <w:pPr>
        <w:jc w:val="center"/>
      </w:pPr>
      <w:r>
        <w:rPr>
          <w:b/>
          <w:i w:val="0"/>
        </w:rPr>
        <w:t xml:space="preserve">Hướng dẫn xác định chỉ tiêu vốn nhà nước và thu nộp ngân sách </w:t>
      </w:r>
    </w:p>
    <w:p>
      <w:pPr>
        <w:jc w:val="center"/>
      </w:pPr>
      <w:r>
        <w:rPr>
          <w:b/>
          <w:i w:val="0"/>
        </w:rPr>
        <w:t xml:space="preserve">để phân loại doanh nghiệp theo Quyết định số 58/2002/QĐ-TTg </w:t>
      </w:r>
    </w:p>
    <w:p>
      <w:pPr>
        <w:jc w:val="center"/>
      </w:pPr>
      <w:r>
        <w:rPr>
          <w:b/>
          <w:i w:val="0"/>
        </w:rPr>
        <w:t>ngày 26 tháng 4 năm 2002 của Thủ tướng Chính phủ</w:t>
      </w:r>
    </w:p>
    <w:p>
      <w:r>
        <w:rPr>
          <w:b w:val="0"/>
          <w:i/>
        </w:rPr>
        <w:t>Căn cứ Quyết định số 58/2002/QĐ-TTg ngày 26/4/2002 về ban hành tiêu chí, danh mục phân loại doanh nghiệp nhà nước và Tổng công ty Nhà nước của Thủ tướng Chính phủ;</w:t>
      </w:r>
    </w:p>
    <w:p>
      <w:r>
        <w:rPr>
          <w:b w:val="0"/>
          <w:i/>
        </w:rPr>
        <w:t>Bộ Tài chính hướng dẫn việc xác định chỉ tiêu vốn nhà nước có tại doanh nghiệp và thu nộp ngân sách để phân loại doanh nghiệp nhà nước theo qui định tại tiết 1.2 điểm 1 Phần I Mục A Quyết định số 58/2002/QĐ-TTg của Thủ tướng Chính phủ như sau:</w:t>
      </w:r>
    </w:p>
    <w:p>
      <w:r>
        <w:rPr>
          <w:b w:val="0"/>
          <w:i w:val="0"/>
        </w:rPr>
        <w:t>1. Đối tượng áp dụng:</w:t>
      </w:r>
    </w:p>
    <w:p>
      <w:r>
        <w:rPr>
          <w:b w:val="0"/>
          <w:i w:val="0"/>
        </w:rPr>
        <w:t>Thông tư này áp dụng cho các doanh nghiệp nhà nước độc lập, doanh nghiệp thành viên của các Tổng công ty nhà nước và các Tổng công ty nhà nước hiện có hoạt động trong ngành, nghề qui định tại điểm 1.2 Phần I Mục A Quyết định số 58/2002/QĐ-TTg ngày 26/4/2002.</w:t>
      </w:r>
    </w:p>
    <w:p>
      <w:r>
        <w:rPr>
          <w:b w:val="0"/>
          <w:i w:val="0"/>
        </w:rPr>
        <w:t>2. Chỉ tiêu vốn nhà nước có tại doanh nghiệp và thu nộp ngân sách nhà nước, được xác định như sau:</w:t>
      </w:r>
    </w:p>
    <w:p>
      <w:r>
        <w:rPr>
          <w:b w:val="0"/>
          <w:i w:val="0"/>
        </w:rPr>
        <w:t>2.1 Chỉ tiêu vốn Nhà nước có tại doanh nghiệp:</w:t>
      </w:r>
    </w:p>
    <w:p>
      <w:r>
        <w:rPr>
          <w:b w:val="0"/>
          <w:i w:val="0"/>
        </w:rPr>
        <w:t>+ Đối với doanh nghiệp: vốn Nhà nước có tại doanh nghiệp được thể hiện trên sổ kế toán của doanh nghiệp (không bao gồm vốn nhận góp liên doanh, liên kết) như sau:</w:t>
      </w:r>
    </w:p>
    <w:p>
      <w:r>
        <w:rPr>
          <w:b w:val="0"/>
          <w:i w:val="0"/>
        </w:rPr>
        <w:t>Nguồn vốn kinh doanh (Tài khoản 411)</w:t>
      </w:r>
    </w:p>
    <w:p>
      <w:r>
        <w:rPr>
          <w:b w:val="0"/>
          <w:i w:val="0"/>
        </w:rPr>
        <w:t>Nguồn vốn đầu tư xây dựng cơ bản (Tài khoản 441)</w:t>
      </w:r>
    </w:p>
    <w:p>
      <w:r>
        <w:rPr>
          <w:b w:val="0"/>
          <w:i w:val="0"/>
        </w:rPr>
        <w:t>Quĩ đầu tư phát triển (Tài khoản 414)</w:t>
      </w:r>
    </w:p>
    <w:p>
      <w:r>
        <w:rPr>
          <w:b w:val="0"/>
          <w:i w:val="0"/>
        </w:rPr>
        <w:t>+ Đối với các Ngân hàng thương mại, tổ chức tín dụng: vốn Nhà nước có tại doanh nghiệp được thể hiện trên sổ kế toán như sau:</w:t>
      </w:r>
    </w:p>
    <w:p>
      <w:r>
        <w:rPr>
          <w:b w:val="0"/>
          <w:i w:val="0"/>
        </w:rPr>
        <w:t>Vốn điều lệ (Tài khoản 601)</w:t>
      </w:r>
    </w:p>
    <w:p>
      <w:r>
        <w:rPr>
          <w:b w:val="0"/>
          <w:i w:val="0"/>
        </w:rPr>
        <w:t>Vốn đầu tư xây dựng (Tài khoản 602)</w:t>
      </w:r>
    </w:p>
    <w:p>
      <w:r>
        <w:rPr>
          <w:b w:val="0"/>
          <w:i w:val="0"/>
        </w:rPr>
        <w:t>Quĩ đầu tư phát triển (Tài khoản 612)</w:t>
      </w:r>
    </w:p>
    <w:p>
      <w:r>
        <w:rPr>
          <w:b w:val="0"/>
          <w:i w:val="0"/>
        </w:rPr>
        <w:t>Quĩ dự trữ bổ sung vốn điều lệ (Tài khoản 611)</w:t>
      </w:r>
    </w:p>
    <w:p>
      <w:r>
        <w:rPr>
          <w:b w:val="0"/>
          <w:i w:val="0"/>
        </w:rPr>
        <w:t>2.2 Chỉ tiêu mức thu nộp ngân sách nhà nước 3 năm trước liền kề được xác định bằng cách tính bình quân số phát sinh phải nộp ngân sách của doanh nghiệp trong 3 năm trước liền kề.</w:t>
      </w:r>
    </w:p>
    <w:p>
      <w:r>
        <w:rPr>
          <w:b w:val="0"/>
          <w:i w:val="0"/>
        </w:rPr>
        <w:t>Chỉ tiêu số phát sinh phải nộp ngân sách trong năm thể hiện ở mã số 10 cột 4, Phần II - Tình hình thực hiện nghĩa vụ với nhà nước - Báo cáo kết quả hoạt động kinh doanh (mẫu số 02) ban hành kèm theo Quyết định số 167/2000/QĐ-BTC ngày 25/10/2000 của Bộ trưởng Bộ Tài chính về việc ban hành chế độ báo cáo tài chính doanh nghiệp.</w:t>
      </w:r>
    </w:p>
    <w:p>
      <w:r>
        <w:rPr>
          <w:b w:val="0"/>
          <w:i w:val="0"/>
        </w:rPr>
        <w:t>3. Điều khoản thi hành.</w:t>
      </w:r>
    </w:p>
    <w:p>
      <w:r>
        <w:rPr>
          <w:b w:val="0"/>
          <w:i w:val="0"/>
        </w:rPr>
        <w:t>Thông tư này có hiệu lực thi hành sau 15 ngày kể từ ngày ký. Trong quá trình thực hiện nếu có khó khăn vướng mắc, đề nghị phản ánh về Bộ Tài chính để xem xét, giải quyết./.</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KT. BỘ TRƯỞNG BỘ TÀI CHÍNH</w:t>
            </w:r>
            <w:r>
              <w:rPr>
                <w:b w:val="0"/>
                <w:i w:val="0"/>
              </w:rPr>
              <w:br/>
            </w:r>
            <w:r>
              <w:rPr>
                <w:b/>
                <w:i w:val="0"/>
              </w:rPr>
              <w:t>THỨ TRƯỞNG</w:t>
            </w:r>
            <w:r>
              <w:rPr>
                <w:b w:val="0"/>
                <w:i w:val="0"/>
              </w:rPr>
              <w:br/>
            </w:r>
            <w:r>
              <w:rPr>
                <w:b/>
                <w:i/>
              </w:rPr>
              <w:t xml:space="preserve">(Đã ký) </w:t>
            </w:r>
            <w:r>
              <w:rPr>
                <w:b w:val="0"/>
                <w:i w:val="0"/>
              </w:rPr>
              <w:br/>
            </w:r>
            <w:r>
              <w:rPr>
                <w:b/>
                <w:i w:val="0"/>
              </w:rPr>
              <w:t>Trần Văn Tá</w:t>
            </w:r>
            <w:r>
              <w:rPr>
                <w:b w:val="0"/>
                <w:i w:val="0"/>
              </w:rPr>
              <w:br/>
            </w:r>
            <w:r>
              <w:rPr>
                <w:b w:val="0"/>
                <w:i w:val="0"/>
              </w:rPr>
              <w:t xml:space="preserve"> </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