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95/2004/QĐ-BCN Thành lập lại Phân viện Máy và Dụng cụ công nghiệp trực thuộc Viện Máy và Dụng cụ công nghiệp</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95/2004/QĐ-BCN</w:t>
        <w:br/>
        <w:t xml:space="preserve">     </w:t>
      </w:r>
      <w:r>
        <w:rPr>
          <w:b w:val="0"/>
          <w:i w:val="0"/>
        </w:rPr>
        <w:br/>
      </w:r>
      <w:r>
        <w:rPr>
          <w:b w:val="0"/>
          <w:i/>
        </w:rPr>
        <w:br/>
        <w:t xml:space="preserve">      Hà Nội, ngày 17 tháng 9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95/2004/QĐ-BCN</w:t>
        <w:br/>
        <w:t xml:space="preserve">     </w:t>
      </w:r>
      <w:r>
        <w:rPr>
          <w:b w:val="0"/>
          <w:i w:val="0"/>
        </w:rPr>
        <w:br/>
      </w:r>
      <w:r>
        <w:rPr>
          <w:b w:val="0"/>
          <w:i/>
        </w:rPr>
        <w:br/>
        <w:t xml:space="preserve">      Hà Nội, ngày 17 tháng 9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95/2004/QĐ-BCN</w:t>
        <w:br/>
        <w:t xml:space="preserve">     </w:t>
      </w:r>
      <w:r>
        <w:rPr>
          <w:b w:val="0"/>
          <w:i w:val="0"/>
        </w:rPr>
        <w:br/>
      </w:r>
      <w:r>
        <w:rPr>
          <w:b w:val="0"/>
          <w:i/>
        </w:rPr>
        <w:br/>
        <w:t xml:space="preserve">      Hà Nội, ngày 17 tháng 9 năm 2004</w:t>
        <w:br/>
        <w:t xml:space="preserve">     </w:t>
      </w:r>
      <w:r>
        <w:rPr>
          <w:b w:val="0"/>
          <w:i w:val="0"/>
        </w:rPr>
        <w:br/>
      </w:r>
    </w:p>
    <w:p>
      <w:pPr>
        <w:jc w:val="center"/>
      </w:pPr>
      <w:r>
        <w:rPr>
          <w:b w:val="0"/>
          <w:i w:val="0"/>
        </w:rPr>
        <w:br/>
        <w:t xml:space="preserve">      Số: 95/2004/QĐ-BCN</w:t>
        <w:br/>
        <w:t xml:space="preserve">     </w:t>
      </w:r>
    </w:p>
    <w:p>
      <w:pPr>
        <w:jc w:val="center"/>
      </w:pPr>
      <w:r>
        <w:rPr>
          <w:b w:val="0"/>
          <w:i w:val="0"/>
        </w:rPr>
        <w:br/>
        <w:t xml:space="preserve">      Hà Nội, ngày 17 tháng 9 năm 2004</w:t>
        <w:br/>
        <w:t xml:space="preserve">     </w:t>
      </w:r>
    </w:p>
    <w:p>
      <w:pPr>
        <w:jc w:val="center"/>
      </w:pPr>
      <w:r>
        <w:rPr>
          <w:b w:val="0"/>
          <w:i w:val="0"/>
        </w:rPr>
        <w:t xml:space="preserve">                      </w:t>
      </w:r>
      <w:r>
        <w:rPr>
          <w:b w:val="0"/>
          <w:i w:val="0"/>
        </w:rPr>
        <w:t xml:space="preserve"> </w:t>
      </w:r>
      <w:r>
        <w:rPr>
          <w:b/>
          <w:i w:val="0"/>
        </w:rPr>
        <w:t>QUYẾT ĐỊNH CỦA BỘ TRƯỞNG BỘ CÔNG NGHIỆP</w:t>
      </w:r>
    </w:p>
    <w:p>
      <w:pPr>
        <w:jc w:val="center"/>
      </w:pPr>
      <w:r>
        <w:rPr>
          <w:b/>
          <w:i/>
        </w:rPr>
        <w:t xml:space="preserve">                                 </w:t>
      </w:r>
      <w:r>
        <w:rPr>
          <w:b/>
          <w:i w:val="0"/>
        </w:rPr>
        <w:t xml:space="preserve">    Thành lập lại Phân viện Máy và Dụng cụ công nghiệp trực thuộc</w:t>
      </w:r>
      <w:r>
        <w:rPr>
          <w:b w:val="0"/>
          <w:i w:val="0"/>
        </w:rPr>
        <w:t xml:space="preserve">            </w:t>
      </w:r>
      <w:r>
        <w:rPr>
          <w:b/>
          <w:i w:val="0"/>
        </w:rPr>
        <w:t xml:space="preserve"> </w:t>
      </w:r>
    </w:p>
    <w:p>
      <w:pPr>
        <w:jc w:val="center"/>
      </w:pPr>
      <w:r>
        <w:rPr>
          <w:b/>
          <w:i w:val="0"/>
        </w:rPr>
        <w:t xml:space="preserve">Viện Máy và Dụng cụ công nghiệp </w:t>
      </w:r>
    </w:p>
    <w:p>
      <w:pPr>
        <w:jc w:val="center"/>
      </w:pPr>
      <w:r>
        <w:rPr>
          <w:b w:val="0"/>
          <w:i w:val="0"/>
        </w:rPr>
        <w:t xml:space="preserve">                                     ______________________________</w:t>
      </w:r>
    </w:p>
    <w:p>
      <w:pPr>
        <w:jc w:val="center"/>
      </w:pPr>
      <w:r>
        <w:rPr>
          <w:b/>
          <w:i w:val="0"/>
        </w:rPr>
        <w:t>BỘ TRƯỞNG BỘ CÔNG NGHIỆP</w:t>
      </w:r>
    </w:p>
    <w:p>
      <w:pPr>
        <w:jc w:val="both"/>
      </w:pPr>
      <w:r>
        <w:rPr>
          <w:b w:val="0"/>
          <w:i/>
        </w:rPr>
        <w:t xml:space="preserve">Căn cứ Luật khoa học và Công nghệ ngày 09 tháng 6 năm 2000; </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Quyết định số 56/2002/QĐ-BCN ngày 18 tháng 12 năm 2002 của Bộ Công nghiệp về việc chuyển Viện Máy và Dụng cụ công nghiệp đơn vị thành viên của Tổng công ty Máy và Thiết bị công nghiệp thành doanh nghiệp hoạt động khoa học và công nghệ trực thuộc Bộ Công nghiệp và tổ chức lại thành Công ty mẹ nhà nước, thí điểm tổ chức theo mô hình công ty mẹ - công ty con;</w:t>
      </w:r>
    </w:p>
    <w:p>
      <w:pPr>
        <w:jc w:val="both"/>
      </w:pPr>
      <w:r>
        <w:rPr>
          <w:b w:val="0"/>
          <w:i/>
        </w:rPr>
        <w:t>Căn cứ Quyết định số 12/2004/QĐ-BCN ngày 24 tháng 02 năm 2004 của Bộ Công nghiệp về việc phê duyệt Điều lệ Tổ chức và Hoạt động của Viện Máy và Dụng cụ công nghiệp doanh nghiệp hoạt động khoa học và công nghệ, thí điểm tổ chức theo mô hình công ty mẹ - công ty con;</w:t>
      </w:r>
    </w:p>
    <w:p>
      <w:pPr>
        <w:jc w:val="both"/>
      </w:pPr>
      <w:r>
        <w:rPr>
          <w:b w:val="0"/>
          <w:i/>
        </w:rPr>
        <w:t>Xét đề nghị của Viện trưởng Viện máy và Dụng cụ công nghiệp  (Công văn số 1196/CV-KHTH ngày 19 tháng 8 năm 2004);</w:t>
      </w:r>
    </w:p>
    <w:p>
      <w:pPr>
        <w:jc w:val="both"/>
      </w:pPr>
      <w:r>
        <w:rPr>
          <w:b w:val="0"/>
          <w:i/>
        </w:rPr>
        <w:t>Theo đề nghị của Vụ trưởng Vụ Tổ chức - Cán bộ,</w:t>
      </w:r>
    </w:p>
    <w:p>
      <w:pPr>
        <w:jc w:val="center"/>
      </w:pPr>
      <w:r>
        <w:rPr>
          <w:b/>
          <w:i w:val="0"/>
        </w:rPr>
        <w:t>QUYẾT ĐỊNH:</w:t>
      </w:r>
    </w:p>
    <w:p>
      <w:r>
        <w:rPr>
          <w:b/>
          <w:i w:val="0"/>
        </w:rPr>
        <w:t xml:space="preserve">Điều 1. </w:t>
      </w:r>
      <w:r>
        <w:rPr>
          <w:b w:val="0"/>
          <w:i w:val="0"/>
        </w:rPr>
        <w:t>Thành lập lại Phân viện Máy và Dụng cụ công nghiệp (sau đây gọi là Phân viện) là đơn vị nghiên cứu và chuyển giao công nghệ thuộc lĩnh vực máy và dụng cụ công nghiệp trực thuộc Viện Máy và Dụng cụ công nghiệp.</w:t>
      </w:r>
    </w:p>
    <w:p>
      <w:r>
        <w:rPr>
          <w:b w:val="0"/>
          <w:i w:val="0"/>
        </w:rPr>
        <w:t>Tên giao dịch quốc tế: INDUSTRIAL MACHINERY AND INSTRUMENTS HOLDINGS BRANCH IN HOCHIMINH CITY;</w:t>
      </w:r>
    </w:p>
    <w:p>
      <w:r>
        <w:rPr>
          <w:b w:val="0"/>
          <w:i w:val="0"/>
        </w:rPr>
        <w:t xml:space="preserve">Tên viết tắt: </w:t>
      </w:r>
      <w:r>
        <w:rPr>
          <w:b/>
          <w:i w:val="0"/>
        </w:rPr>
        <w:t xml:space="preserve">IMI HOLDING'S BRANCH. </w:t>
      </w:r>
    </w:p>
    <w:p>
      <w:r>
        <w:rPr>
          <w:b w:val="0"/>
          <w:i w:val="0"/>
        </w:rPr>
        <w:t>Trụ sở chính đặt tại: số 275, Hùng Vương, quận 6, thành phố Hồ Chí Minh.</w:t>
      </w:r>
    </w:p>
    <w:p>
      <w:r>
        <w:rPr>
          <w:b/>
          <w:i w:val="0"/>
        </w:rPr>
        <w:t xml:space="preserve">Điều 2. </w:t>
      </w:r>
      <w:r>
        <w:rPr>
          <w:b w:val="0"/>
          <w:i w:val="0"/>
        </w:rPr>
        <w:t>Phân viện là đơn vị nghiên cứu khoa học và chuyển giao công nghệ, hạch toán phụ thuộc Viện Máy và Dụng cụ công nghiệp, được mở tài khoản tại Ngân hàng và Kho bạc Nhà nước, có con dấu riêng để hoạt động, giao dịch theo quy định của Viện trưởng Viện Máy và Dụng cụ công nghiệp và các quy định của pháp luật.</w:t>
      </w:r>
    </w:p>
    <w:p>
      <w:r>
        <w:rPr>
          <w:b/>
          <w:i w:val="0"/>
        </w:rPr>
        <w:t xml:space="preserve">Điều 3. </w:t>
      </w:r>
      <w:r>
        <w:rPr>
          <w:b w:val="0"/>
          <w:i w:val="0"/>
        </w:rPr>
        <w:t>Phân viện có các nhiệm vụ chủ yếu sau:</w:t>
      </w:r>
    </w:p>
    <w:p>
      <w:r>
        <w:rPr>
          <w:b w:val="0"/>
          <w:i w:val="0"/>
        </w:rPr>
        <w:t>1. Thực hiện nghiên cứu, triển khai khoa học và công nghệ về lĩnh vực máy và dụng cụ công nghiệp thuộc các đề tài cấp Nhà nước, cấp Bộ và cấp cơ sở.</w:t>
      </w:r>
    </w:p>
    <w:p>
      <w:r>
        <w:rPr>
          <w:b w:val="0"/>
          <w:i w:val="0"/>
        </w:rPr>
        <w:t>2. Nghiên cứu ứng dụng các tiến bộ khoa học, kỹ thuật và chuyển giao công nghệ vào sản xuất; thiết kế, chế tạo, cung cấp, lắp đặt, vận hành các loại máy, thiết bị công nghệ, cơ điện tử, các hệ thống điều khiển tự động, thiết bị tự động hoá, thiết bị điện tử công nghiệp, dây chuyền công nghệ mới và phần mềm ứng dụng trong sản xuất công nghiệp.</w:t>
      </w:r>
    </w:p>
    <w:p>
      <w:r>
        <w:rPr>
          <w:b w:val="0"/>
          <w:i w:val="0"/>
        </w:rPr>
        <w:t>3. Dịch vụ tư vấn đầu tư, xuất nhập khẩu vật tư, trang thiết bị công nghiệp chuyên ngành theo quy định của pháp luật.</w:t>
      </w:r>
    </w:p>
    <w:p>
      <w:r>
        <w:rPr>
          <w:b w:val="0"/>
          <w:i w:val="0"/>
        </w:rPr>
        <w:t>4. Thực hiện hợp tác, liên doanh, liên kết, ứng dụng, chuyển giao công nghệ về lĩnh vực máy, thiết bị công nghiệp và bảo vệ môi trường với các tổ chức, cá nhân ở trong và ngoài nước.</w:t>
      </w:r>
    </w:p>
    <w:p>
      <w:r>
        <w:rPr>
          <w:b w:val="0"/>
          <w:i w:val="0"/>
        </w:rPr>
        <w:t>5. Tham gia đào tạo và cung cấp nguồn nhân lực có trình độ cao trong lĩnh vực cơ điện tử cho các cơ quan, doanh nghiệp có nhu cầu.</w:t>
      </w:r>
    </w:p>
    <w:p>
      <w:r>
        <w:rPr>
          <w:b w:val="0"/>
          <w:i w:val="0"/>
        </w:rPr>
        <w:t>6. Quản lý tổ chức, nhân sự, tài sản được giao theo quy định của Viện trưởng.</w:t>
      </w:r>
    </w:p>
    <w:p>
      <w:r>
        <w:rPr>
          <w:b w:val="0"/>
          <w:i w:val="0"/>
        </w:rPr>
        <w:t>7. Thực hiện các nhiệm vụ khoa học, công nghệ và môi trường khác được Viện trưởng giao.</w:t>
      </w:r>
    </w:p>
    <w:p>
      <w:r>
        <w:rPr>
          <w:b/>
          <w:i w:val="0"/>
        </w:rPr>
        <w:t xml:space="preserve">Điều 4. </w:t>
      </w:r>
      <w:r>
        <w:rPr>
          <w:b w:val="0"/>
          <w:i w:val="0"/>
        </w:rPr>
        <w:t>Cơ cấu tổ chức của Phân viện, gồm có:</w:t>
      </w:r>
    </w:p>
    <w:p>
      <w:r>
        <w:rPr>
          <w:b w:val="0"/>
          <w:i w:val="0"/>
        </w:rPr>
        <w:t>1. Lãnh đạo:</w:t>
      </w:r>
    </w:p>
    <w:p>
      <w:r>
        <w:rPr>
          <w:b w:val="0"/>
          <w:i w:val="0"/>
        </w:rPr>
        <w:t>a) Phân Viện trưởng;</w:t>
      </w:r>
    </w:p>
    <w:p>
      <w:r>
        <w:rPr>
          <w:b w:val="0"/>
          <w:i w:val="0"/>
        </w:rPr>
        <w:t>b) Các Phó Phân Viện trưởng;</w:t>
      </w:r>
    </w:p>
    <w:p>
      <w:r>
        <w:rPr>
          <w:b w:val="0"/>
          <w:i w:val="0"/>
        </w:rPr>
        <w:t>2. Các bộ phận chuyên môn và nghiệp vụ.</w:t>
      </w:r>
    </w:p>
    <w:p>
      <w:r>
        <w:rPr>
          <w:b w:val="0"/>
          <w:i w:val="0"/>
        </w:rPr>
        <w:t>3. Các bộ phận sản xuất và dịch vụ.</w:t>
      </w:r>
    </w:p>
    <w:p>
      <w:r>
        <w:rPr>
          <w:b w:val="0"/>
          <w:i w:val="0"/>
        </w:rPr>
        <w:t>Phân viện được giao một số cơ sở vật chất, tài sản, vốn để thực hiện nhiệm vụ nghiên cứu, triển khai khoa học, công nghệ theo quy định của Viện Máy và Dụng cụ công nghiệp; có trách nhiệm duy trì, bảo toàn và phát triển vốn được giao theo quy định của pháp luật.</w:t>
      </w:r>
    </w:p>
    <w:p>
      <w:r>
        <w:rPr>
          <w:b w:val="0"/>
          <w:i w:val="0"/>
        </w:rPr>
        <w:t>Viện trưởng Viện Máy và Dụng cụ công nghiệp bổ nhiệm, miễn nhiệm Phân Viện trưởng, Phó Phân Viện trưởng; ban hành Quy chế Tổ chức - Hoạt động của Phân viện và các quy định có liên quan khác theo quy định tại Điều lệ Tổ chức - Hoạt động của Viện Máy và Dụng cụ công nghiệp và các quy định hiện hành của pháp luật.</w:t>
      </w:r>
    </w:p>
    <w:p>
      <w:r>
        <w:rPr>
          <w:b/>
          <w:i w:val="0"/>
        </w:rPr>
        <w:t xml:space="preserve">Điều 5. </w:t>
      </w:r>
      <w:r>
        <w:rPr>
          <w:b w:val="0"/>
          <w:i w:val="0"/>
        </w:rPr>
        <w:t>Quyết định này có hiệu lực thi hành sau 15 ngày kể từ ngày đăng Công báo và thay thế Quyết định số 64/1998/QĐ-BCN ngày 03 tháng 10 năm 1998 của Bộ trưởng Bộ Công nghiệp về việc chuyển Trung tâm Khai thác và ứng dụng khoa học, kỹ thuật thành Phân viện Máy và Dụng cụ công nghiệp.</w:t>
      </w:r>
    </w:p>
    <w:p>
      <w:r>
        <w:rPr>
          <w:b w:val="0"/>
          <w:i w:val="0"/>
        </w:rPr>
        <w:t>Chánh Văn phòng Bộ, Chánh Thanh tra Bộ, các Vụ trưởng, Cục trưởng thuộc Bộ, Viện trưởng Viện Máy và Dụng cụ công nghiệp và Phân Viện trưởng Phân viện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