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961/1995/QĐ-UB Về việc thực hiện bảo hiểm toàn diện học sinh</w:t>
      </w:r>
    </w:p>
    <w:p>
      <w:r>
        <w:rPr>
          <w:b/>
          <w:i w:val="0"/>
        </w:rPr>
        <w:t>QUYẾT ĐỊNH CỦA UỶ BAN NHÂN DÂN TỈNH HÀ TĨNH</w:t>
      </w:r>
    </w:p>
    <w:p>
      <w:r>
        <w:rPr>
          <w:b/>
          <w:i w:val="0"/>
        </w:rPr>
        <w:t xml:space="preserve">Về việc thực hiện bảo hiểm toàn diện học sinh </w:t>
      </w:r>
    </w:p>
    <w:p>
      <w:r>
        <w:rPr>
          <w:b/>
          <w:i w:val="0"/>
        </w:rPr>
        <w:t>UỶ BAN NHÂN DÂN TỈNH HÀ TĨNH</w:t>
      </w:r>
    </w:p>
    <w:p>
      <w:r>
        <w:rPr>
          <w:b w:val="0"/>
          <w:i/>
        </w:rPr>
        <w:t>Căn cứ Luật tổ chức HĐND và UBND ngày 21 tháng 6 năm 1994;</w:t>
      </w:r>
    </w:p>
    <w:p>
      <w:r>
        <w:rPr>
          <w:b w:val="0"/>
          <w:i/>
        </w:rPr>
        <w:t>Căn cứ Thông tư liên bộ số 35-TT/LB ngày 25/4/1995 của Bộ Tài chính và Bộ Giáo dục - Đào tạo hướng dẫn về bảo hiểm toàn diện đối với học sinh;</w:t>
      </w:r>
    </w:p>
    <w:p>
      <w:r>
        <w:rPr>
          <w:b w:val="0"/>
          <w:i/>
        </w:rPr>
        <w:t xml:space="preserve">Xét đề nghị của Giám đốc Công ty bảo hiểm Hà Tĩnh tại công văn số 04 BC/BHHS ngày 18/7/1995, 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1: </w:t>
      </w:r>
      <w:r>
        <w:rPr>
          <w:b w:val="0"/>
          <w:i w:val="0"/>
        </w:rPr>
        <w:t>Giao cho Giám đốc Công ty Bảo hiểm Hà Tĩnh cùng phối hợp với Giám đốc Sở Giáo dục - Đào tạo hướng dẫn thực hiện quyết định này.</w:t>
      </w:r>
    </w:p>
    <w:p>
      <w:r>
        <w:rPr>
          <w:b w:val="0"/>
          <w:i w:val="0"/>
        </w:rPr>
        <w:t>Định kỳ hàng quý báo cáo kết quả lên UBND tỉnh để tiếp tục chỉ đạo.</w:t>
      </w:r>
    </w:p>
    <w:p>
      <w:r>
        <w:rPr>
          <w:b/>
          <w:i w:val="0"/>
        </w:rPr>
        <w:t xml:space="preserve">Điều 2: </w:t>
      </w:r>
      <w:r>
        <w:rPr>
          <w:b w:val="0"/>
          <w:i w:val="0"/>
        </w:rPr>
        <w:t>Các ông: Chánh văn phòng UBND tỉnh, Giám đốc Công ty Bảo hiểm Hà Tĩnh (Bảo việt Hà Tĩnh), Giám đốc Sở Giáo dục - Đào tạo, Chủ tịch UBND các huyện, thị xã, thủ trưởng các cơ quan, các đơn vị liên quan chịu trách nhiệm thi hành quyết định này.</w:t>
      </w:r>
    </w:p>
    <w:p>
      <w:r>
        <w:rPr>
          <w:b/>
          <w:i w:val="0"/>
        </w:rPr>
        <w:t xml:space="preserve">Điều 3: </w:t>
      </w:r>
      <w:r>
        <w:rPr>
          <w:b w:val="0"/>
          <w:i w:val="0"/>
        </w:rPr>
        <w:t>Các ông: Chánh văn phòng UBND tỉnh, Gi ám đốc Công ty Bảo hiểm Hà Tĩnh (Bảo Việt Hà Tĩnh), Gi ám đốc Sở Gi áo dục - Đào tạo, Chủ tịch UBND các huyện, thị xã, thủ trưởng các cơ quan, các đơn vị liên quan chịu trách nhiệm thi hành quyết định này./.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