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96/2025/TT-BTC Bãi bỏ Thông tư số 19/2003/TT-BTC ngày 20 tháng 3 năm 2003 của Bộ Tài chính hướng dẫn điều chỉnh tăng, giảm vốn điều lệ và quản lý cổ phiếu quỹ trong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TÀI CHÍNH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val="0"/>
          <w:i w:val="0"/>
        </w:rPr>
        <w:br/>
      </w:r>
      <w:r>
        <w:rPr>
          <w:b/>
          <w:i w:val="0"/>
        </w:rPr>
        <w:t>BÃI BỎ THÔNG TƯ SỐ 19/2003/TT-BTC NGÀY 20 THÁNG 3 NĂM 2003 CỦA BỘ TÀI CHÍNH HƯỚNG DẪN ĐIỀU CHỈNH TĂNG, GIẢM VỐN ĐIỀU LỆ VÀ QUẢN LÝ CỔ PHIẾU QUỸ TRONG CÔNG TY CỔ PHẦN</w:t>
      </w:r>
      <w:r>
        <w:rPr>
          <w:b w:val="0"/>
          <w:i w:val="0"/>
        </w:rPr>
        <w:br/>
      </w:r>
      <w:r>
        <w:rPr>
          <w:b w:val="0"/>
          <w:i/>
        </w:rPr>
        <w:t>Căn cứ</w:t>
      </w:r>
      <w:r>
        <w:rPr>
          <w:b w:val="0"/>
          <w:i/>
        </w:rPr>
        <w:t xml:space="preserve"> </w:t>
      </w:r>
      <w:r>
        <w:rPr>
          <w:b w:val="0"/>
          <w:i/>
        </w:rPr>
        <w:t>Luật Kế toán</w:t>
      </w:r>
      <w:r>
        <w:rPr>
          <w:b w:val="0"/>
          <w:i/>
        </w:rPr>
        <w:t xml:space="preserve"> </w:t>
      </w:r>
      <w:r>
        <w:rPr>
          <w:b w:val="0"/>
          <w:i/>
        </w:rPr>
        <w:t>ngày 20 tháng 11 năm 2015;</w:t>
      </w:r>
      <w:r>
        <w:rPr>
          <w:b w:val="0"/>
          <w:i w:val="0"/>
        </w:rPr>
        <w:br/>
      </w:r>
      <w:r>
        <w:rPr>
          <w:b w:val="0"/>
          <w:i/>
        </w:rPr>
        <w:t>Căn cứ</w:t>
      </w:r>
      <w:r>
        <w:rPr>
          <w:b w:val="0"/>
          <w:i/>
        </w:rPr>
        <w:t xml:space="preserve"> </w:t>
      </w:r>
      <w:r>
        <w:rPr>
          <w:b w:val="0"/>
          <w:i/>
        </w:rPr>
        <w:t>Luật Chứng khoán</w:t>
      </w:r>
      <w:r>
        <w:rPr>
          <w:b w:val="0"/>
          <w:i/>
        </w:rPr>
        <w:t xml:space="preserve"> </w:t>
      </w:r>
      <w:r>
        <w:rPr>
          <w:b w:val="0"/>
          <w:i/>
        </w:rPr>
        <w:t>ngày 26 tháng 11 năm 2019;</w:t>
      </w:r>
      <w:r>
        <w:rPr>
          <w:b w:val="0"/>
          <w:i w:val="0"/>
        </w:rPr>
        <w:br/>
      </w:r>
      <w:r>
        <w:rPr>
          <w:b w:val="0"/>
          <w:i/>
        </w:rPr>
        <w:t>Căn cứ</w:t>
      </w:r>
      <w:r>
        <w:rPr>
          <w:b w:val="0"/>
          <w:i/>
        </w:rPr>
        <w:t xml:space="preserve"> </w:t>
      </w:r>
      <w:r>
        <w:rPr>
          <w:b w:val="0"/>
          <w:i/>
        </w:rPr>
        <w:t>Luật Doanh nghiệp</w:t>
      </w:r>
      <w:r>
        <w:rPr>
          <w:b w:val="0"/>
          <w:i/>
        </w:rPr>
        <w:t xml:space="preserve"> </w:t>
      </w:r>
      <w:r>
        <w:rPr>
          <w:b w:val="0"/>
          <w:i/>
        </w:rPr>
        <w:t>ngày 17 tháng 6 năm 2020 (được sửa đổi, bổ sung một số điều tại Luật số</w:t>
      </w:r>
      <w:r>
        <w:rPr>
          <w:b w:val="0"/>
          <w:i/>
        </w:rPr>
        <w:t xml:space="preserve"> </w:t>
      </w:r>
      <w:r>
        <w:rPr>
          <w:b w:val="0"/>
          <w:i/>
        </w:rPr>
        <w:t>03/2022/QH15</w:t>
      </w:r>
      <w:r>
        <w:rPr>
          <w:b w:val="0"/>
          <w:i/>
        </w:rPr>
        <w:t xml:space="preserve"> </w:t>
      </w:r>
      <w:r>
        <w:rPr>
          <w:b w:val="0"/>
          <w:i/>
        </w:rPr>
        <w:t>ngày 11 tháng 01 năm 2022 và Luật số</w:t>
      </w:r>
      <w:r>
        <w:rPr>
          <w:b w:val="0"/>
          <w:i/>
        </w:rPr>
        <w:t xml:space="preserve"> </w:t>
      </w:r>
      <w:r>
        <w:rPr>
          <w:b w:val="0"/>
          <w:i/>
        </w:rPr>
        <w:t>76/2025/QH15</w:t>
      </w:r>
      <w:r>
        <w:rPr>
          <w:b w:val="0"/>
          <w:i/>
        </w:rPr>
        <w:t xml:space="preserve"> </w:t>
      </w:r>
      <w:r>
        <w:rPr>
          <w:b w:val="0"/>
          <w:i/>
        </w:rPr>
        <w:t>ngày 17 tháng 6 năm 2025);</w:t>
      </w:r>
      <w:r>
        <w:rPr>
          <w:b w:val="0"/>
          <w:i w:val="0"/>
        </w:rPr>
        <w:br/>
      </w:r>
      <w:r>
        <w:rPr>
          <w:b w:val="0"/>
          <w:i/>
        </w:rPr>
        <w:t>Căn cứ</w:t>
      </w:r>
      <w:r>
        <w:rPr>
          <w:b w:val="0"/>
          <w:i/>
        </w:rPr>
        <w:t xml:space="preserve"> </w:t>
      </w:r>
      <w:r>
        <w:rPr>
          <w:b w:val="0"/>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Pr>
          <w:b w:val="0"/>
          <w:i/>
        </w:rPr>
        <w:t xml:space="preserve"> </w:t>
      </w:r>
      <w:r>
        <w:rPr>
          <w:b w:val="0"/>
          <w:i/>
        </w:rPr>
        <w:t>ngày 29 tháng 11 năm 2024;</w:t>
      </w:r>
      <w:r>
        <w:rPr>
          <w:b w:val="0"/>
          <w:i w:val="0"/>
        </w:rPr>
        <w:br/>
      </w:r>
      <w:r>
        <w:rPr>
          <w:b w:val="0"/>
          <w:i/>
        </w:rPr>
        <w:t>Căn cứ</w:t>
      </w:r>
      <w:r>
        <w:rPr>
          <w:b w:val="0"/>
          <w:i/>
        </w:rPr>
        <w:t xml:space="preserve"> </w:t>
      </w:r>
      <w:r>
        <w:rPr>
          <w:b w:val="0"/>
          <w:i/>
        </w:rPr>
        <w:t>Luật Ban hành văn bản quy phạm pháp luật</w:t>
      </w:r>
      <w:r>
        <w:rPr>
          <w:b w:val="0"/>
          <w:i/>
        </w:rPr>
        <w:t xml:space="preserve"> </w:t>
      </w:r>
      <w:r>
        <w:rPr>
          <w:b w:val="0"/>
          <w:i/>
        </w:rPr>
        <w:t>ngày 19 tháng 02 năm 2025 (được sửa đổi, bổ sung một số điều tại Luật số</w:t>
      </w:r>
      <w:r>
        <w:rPr>
          <w:b w:val="0"/>
          <w:i/>
        </w:rPr>
        <w:t xml:space="preserve"> </w:t>
      </w:r>
      <w:r>
        <w:rPr>
          <w:b w:val="0"/>
          <w:i/>
        </w:rPr>
        <w:t>76/2025/QH15</w:t>
      </w:r>
      <w:r>
        <w:rPr>
          <w:b w:val="0"/>
          <w:i/>
        </w:rPr>
        <w:t xml:space="preserve"> </w:t>
      </w:r>
      <w:r>
        <w:rPr>
          <w:b w:val="0"/>
          <w:i/>
        </w:rPr>
        <w:t>ngày 17 tháng 6 năm 2025);</w:t>
      </w:r>
      <w:r>
        <w:rPr>
          <w:b w:val="0"/>
          <w:i w:val="0"/>
        </w:rPr>
        <w:br/>
      </w:r>
      <w:r>
        <w:rPr>
          <w:b w:val="0"/>
          <w:i/>
        </w:rPr>
        <w:t>Căn cứ Nghị định số</w:t>
      </w:r>
      <w:r>
        <w:rPr>
          <w:b w:val="0"/>
          <w:i/>
        </w:rPr>
        <w:t xml:space="preserve"> </w:t>
      </w:r>
      <w:r>
        <w:rPr>
          <w:b w:val="0"/>
          <w:i/>
        </w:rPr>
        <w:t>78/2025/NĐ-CP</w:t>
      </w:r>
      <w:r>
        <w:rPr>
          <w:b w:val="0"/>
          <w:i/>
        </w:rPr>
        <w:t xml:space="preserve"> </w:t>
      </w:r>
      <w:r>
        <w:rPr>
          <w:b w:val="0"/>
          <w:i/>
        </w:rPr>
        <w:t>ngày 01 tháng 4 năm 2025 của Chính phủ quy định chi tiết một số điều và biện pháp để tổ chức, hướng dẫn thi hành</w:t>
      </w:r>
      <w:r>
        <w:rPr>
          <w:b w:val="0"/>
          <w:i/>
        </w:rPr>
        <w:t xml:space="preserve"> </w:t>
      </w:r>
      <w:r>
        <w:rPr>
          <w:b w:val="0"/>
          <w:i/>
        </w:rPr>
        <w:t>Luật Ban hành văn bản quy phạm pháp luật</w:t>
      </w:r>
      <w:r>
        <w:rPr>
          <w:b w:val="0"/>
          <w:i/>
        </w:rPr>
        <w:t xml:space="preserve"> </w:t>
      </w:r>
      <w:r>
        <w:rPr>
          <w:b w:val="0"/>
          <w:i/>
        </w:rPr>
        <w:t>(được sửa đổi, bổ sung một số điều tại Nghị định số</w:t>
      </w:r>
      <w:r>
        <w:rPr>
          <w:b w:val="0"/>
          <w:i/>
        </w:rPr>
        <w:t xml:space="preserve"> </w:t>
      </w:r>
      <w:r>
        <w:rPr>
          <w:b w:val="0"/>
          <w:i/>
        </w:rPr>
        <w:t>187/2025/NĐ-CP</w:t>
      </w:r>
      <w:r>
        <w:rPr>
          <w:b w:val="0"/>
          <w:i/>
        </w:rPr>
        <w:t xml:space="preserve"> </w:t>
      </w:r>
      <w:r>
        <w:rPr>
          <w:b w:val="0"/>
          <w:i/>
        </w:rPr>
        <w:t>ngày 01 tháng 7 năm 2025 của Chính phủ);</w:t>
      </w:r>
      <w:r>
        <w:rPr>
          <w:b w:val="0"/>
          <w:i w:val="0"/>
        </w:rPr>
        <w:br/>
      </w:r>
      <w:r>
        <w:rPr>
          <w:b w:val="0"/>
          <w:i/>
        </w:rPr>
        <w:t>Căn cứ Nghị định số</w:t>
      </w:r>
      <w:r>
        <w:rPr>
          <w:b w:val="0"/>
          <w:i/>
        </w:rPr>
        <w:t xml:space="preserve"> </w:t>
      </w:r>
      <w:r>
        <w:rPr>
          <w:b w:val="0"/>
          <w:i/>
        </w:rPr>
        <w:t>29/2025/NĐ-CP</w:t>
      </w:r>
      <w:r>
        <w:rPr>
          <w:b w:val="0"/>
          <w:i/>
        </w:rPr>
        <w:t xml:space="preserve"> </w:t>
      </w:r>
      <w:r>
        <w:rPr>
          <w:b w:val="0"/>
          <w:i/>
        </w:rPr>
        <w:t>ngày 24 tháng 02 năm 2025 của Chính phủ quy định chức năng, nhiệm vụ, quyền hạn và cơ cấu tổ chức của Bộ Tài chính (được sửa đổi, bổ sung tại Nghị định số</w:t>
      </w:r>
      <w:r>
        <w:rPr>
          <w:b w:val="0"/>
          <w:i/>
        </w:rPr>
        <w:t xml:space="preserve"> </w:t>
      </w:r>
      <w:r>
        <w:rPr>
          <w:b w:val="0"/>
          <w:i/>
        </w:rPr>
        <w:t>166/2025/NĐ-CP</w:t>
      </w:r>
      <w:r>
        <w:rPr>
          <w:b w:val="0"/>
          <w:i/>
        </w:rPr>
        <w:t xml:space="preserve"> </w:t>
      </w:r>
      <w:r>
        <w:rPr>
          <w:b w:val="0"/>
          <w:i/>
        </w:rPr>
        <w:t>ngày 30 tháng 6 năm 2025 của Chính phủ);</w:t>
      </w:r>
      <w:r>
        <w:rPr>
          <w:b w:val="0"/>
          <w:i w:val="0"/>
        </w:rPr>
        <w:br/>
      </w:r>
      <w:r>
        <w:rPr>
          <w:b w:val="0"/>
          <w:i/>
        </w:rPr>
        <w:t>Theo đề nghị của Cục trưởng Cục Phát triển doanh nghiệp nhà nước;</w:t>
      </w:r>
      <w:r>
        <w:rPr>
          <w:b w:val="0"/>
          <w:i w:val="0"/>
        </w:rPr>
        <w:br/>
      </w:r>
      <w:r>
        <w:rPr>
          <w:b w:val="0"/>
          <w:i/>
        </w:rPr>
        <w:t>Bộ trưởng Bộ Tài chính ban hành Thông tư bãi bỏ Thông tư số</w:t>
      </w:r>
      <w:r>
        <w:rPr>
          <w:b w:val="0"/>
          <w:i/>
        </w:rPr>
        <w:t xml:space="preserve"> </w:t>
      </w:r>
      <w:r>
        <w:rPr>
          <w:b w:val="0"/>
          <w:i/>
        </w:rPr>
        <w:t>19/2003/TT-BTC</w:t>
      </w:r>
      <w:r>
        <w:rPr>
          <w:b w:val="0"/>
          <w:i/>
        </w:rPr>
        <w:t xml:space="preserve"> </w:t>
      </w:r>
      <w:r>
        <w:rPr>
          <w:b w:val="0"/>
          <w:i/>
        </w:rPr>
        <w:t>ngày 20 tháng 3 năm 2003 của Bộ Tài chính hướng dẫn điều chỉnh tăng, giảm vốn điều lệ và quản lý cổ phiếu quỹ trong công ty cổ phần như sau:</w:t>
      </w:r>
      <w:r>
        <w:rPr>
          <w:b w:val="0"/>
          <w:i w:val="0"/>
        </w:rPr>
        <w:br/>
      </w:r>
      <w:r>
        <w:rPr>
          <w:b/>
          <w:i w:val="0"/>
        </w:rPr>
        <w:t>Điều 1. Bãi bỏ toàn bộ Thông tư</w:t>
      </w:r>
      <w:r>
        <w:rPr>
          <w:b w:val="0"/>
          <w:i w:val="0"/>
        </w:rPr>
        <w:br/>
      </w:r>
      <w:r>
        <w:rPr>
          <w:b w:val="0"/>
          <w:i w:val="0"/>
        </w:rPr>
        <w:t>Bãi bỏ toàn bộ Thông tư số 19/2003/TT-BTC ngày 20 tháng 3 năm 2003 của Bộ Tài chính hướng dẫn điều chỉnh tăng, giảm vốn điều lệ và quản lý cổ phiếu quỹ trong công ty cổ phần.</w:t>
      </w:r>
      <w:r>
        <w:rPr>
          <w:b w:val="0"/>
          <w:i w:val="0"/>
        </w:rPr>
        <w:br/>
      </w:r>
      <w:r>
        <w:rPr>
          <w:b/>
          <w:i w:val="0"/>
        </w:rPr>
        <w:t>Điều 2. Điều khoản thi hành</w:t>
      </w:r>
      <w:r>
        <w:rPr>
          <w:b w:val="0"/>
          <w:i w:val="0"/>
        </w:rPr>
        <w:br/>
      </w:r>
      <w:r>
        <w:rPr>
          <w:b w:val="0"/>
          <w:i w:val="0"/>
        </w:rPr>
        <w:t>Thông tư này có hiệu lực thi hành kể từ ngày 15 tháng 12 năm 2025./.</w:t>
      </w:r>
      <w:r>
        <w:rPr>
          <w:b w:val="0"/>
          <w:i w:val="0"/>
        </w:rPr>
        <w:t xml:space="preserve"> </w:t>
      </w:r>
      <w:r>
        <w:rPr>
          <w:b w:val="0"/>
          <w:i w:val="0"/>
        </w:rPr>
        <w:br/>
      </w:r>
      <w:r>
        <w:rPr>
          <w:b w:val="0"/>
          <w:i w:val="0"/>
        </w:rPr>
        <w:br/>
      </w:r>
      <w:r>
        <w:rPr>
          <w:b w:val="0"/>
          <w:i w:val="0"/>
        </w:rPr>
        <w:br/>
      </w:r>
      <w:r>
        <w:rPr>
          <w:b w:val="0"/>
          <w:i w:val="0"/>
        </w:rPr>
        <w:br/>
      </w:r>
      <w:r>
        <w:rPr>
          <w:b w:val="0"/>
          <w:i w:val="0"/>
        </w:rPr>
        <w:br/>
      </w:r>
      <w:r>
        <w:rPr>
          <w:b/>
          <w:i/>
        </w:rPr>
        <w:t>Nơi nh</w:t>
      </w:r>
      <w:r>
        <w:rPr>
          <w:b/>
          <w:i/>
        </w:rPr>
        <w:t>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Ủy ban Trung ương Mặt trận Tổ quốc Việt Nam;</w:t>
      </w:r>
      <w:r>
        <w:br/>
      </w:r>
      <w:r>
        <w:rPr>
          <w:b w:val="0"/>
          <w:i w:val="0"/>
        </w:rPr>
        <w:br/>
        <w:t xml:space="preserve">          - Liên đoàn thương mại và công nghiệp Việt Nam;</w:t>
      </w:r>
      <w:r>
        <w:br/>
      </w:r>
      <w:r>
        <w:rPr>
          <w:b w:val="0"/>
          <w:i w:val="0"/>
        </w:rPr>
        <w:br/>
        <w:t xml:space="preserve">          - Cục Kiểm tra văn bản và Quản lý xử lý vi phạm hành chính, Bộ Tư pháp;</w:t>
      </w:r>
      <w:r>
        <w:br/>
      </w:r>
      <w:r>
        <w:rPr>
          <w:b w:val="0"/>
          <w:i w:val="0"/>
        </w:rPr>
        <w:br/>
        <w:t xml:space="preserve">          - Các đơn vị thuộc Bộ Tài chính;</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Lưu: VT, Cục DNNN (80b).</w:t>
      </w:r>
      <w:r>
        <w:rPr>
          <w:b w:val="0"/>
          <w:i w:val="0"/>
        </w:rPr>
        <w:br/>
      </w:r>
      <w:r>
        <w:rPr>
          <w:b w:val="0"/>
          <w:i w:val="0"/>
        </w:rPr>
        <w:br/>
      </w:r>
      <w:r>
        <w:rPr>
          <w:b/>
          <w:i w:val="0"/>
        </w:rPr>
        <w:t>KT. B</w:t>
      </w:r>
      <w:r>
        <w:rPr>
          <w:b/>
          <w:i w:val="0"/>
        </w:rPr>
        <w:t>Ộ TRƯỞNG</w:t>
      </w:r>
      <w:r>
        <w:br/>
      </w:r>
      <w:r>
        <w:rPr>
          <w:b/>
          <w:i w:val="0"/>
        </w:rPr>
        <w:t>THỨ TRƯỞNG</w:t>
      </w:r>
      <w:r>
        <w:br/>
      </w:r>
      <w:r>
        <w:rPr>
          <w:b/>
          <w:i/>
        </w:rPr>
        <w:t>(Đã ký)</w:t>
      </w:r>
      <w:r>
        <w:br/>
      </w:r>
      <w:r>
        <w:rPr>
          <w:b/>
          <w:i w:val="0"/>
        </w:rPr>
        <w:t>Cao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w:t>
            </w:r>
            <w:r>
              <w:rPr>
                <w:b/>
                <w:i/>
              </w:rPr>
              <w:t>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Ủy ban Trung ương Mặt trận Tổ quốc Việt Nam;</w:t>
            </w:r>
            <w:r>
              <w:br/>
            </w:r>
            <w:r>
              <w:rPr>
                <w:b w:val="0"/>
                <w:i w:val="0"/>
              </w:rPr>
              <w:br/>
              <w:t xml:space="preserve">          - Liên đoàn thương mại và công nghiệp Việt Nam;</w:t>
            </w:r>
            <w:r>
              <w:br/>
            </w:r>
            <w:r>
              <w:rPr>
                <w:b w:val="0"/>
                <w:i w:val="0"/>
              </w:rPr>
              <w:br/>
              <w:t xml:space="preserve">          - Cục Kiểm tra văn bản và Quản lý xử lý vi phạm hành chính, Bộ Tư pháp;</w:t>
            </w:r>
            <w:r>
              <w:br/>
            </w:r>
            <w:r>
              <w:rPr>
                <w:b w:val="0"/>
                <w:i w:val="0"/>
              </w:rPr>
              <w:br/>
              <w:t xml:space="preserve">          - Các đơn vị thuộc Bộ Tài chính;</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Lưu: VT, Cục DNNN (80b).</w:t>
            </w:r>
          </w:p>
        </w:tc>
        <w:tc>
          <w:tcPr>
            <w:tcW w:type="dxa" w:w="4320"/>
          </w:tcPr>
          <w:p>
            <w:r>
              <w:rPr>
                <w:b w:val="0"/>
                <w:i w:val="0"/>
              </w:rPr>
              <w:br/>
            </w:r>
            <w:r>
              <w:rPr>
                <w:b/>
                <w:i w:val="0"/>
              </w:rPr>
              <w:t>KT. B</w:t>
            </w:r>
            <w:r>
              <w:rPr>
                <w:b/>
                <w:i w:val="0"/>
              </w:rPr>
              <w:t>Ộ TRƯỞNG</w:t>
            </w:r>
            <w:r>
              <w:br/>
            </w:r>
            <w:r>
              <w:rPr>
                <w:b/>
                <w:i w:val="0"/>
              </w:rPr>
              <w:t>THỨ TRƯỞNG</w:t>
            </w:r>
            <w:r>
              <w:br/>
            </w:r>
            <w:r>
              <w:rPr>
                <w:b/>
                <w:i/>
              </w:rPr>
              <w:t>(Đã ký)</w:t>
            </w:r>
            <w: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