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98/2021/QĐ-UBND Sửa đổi, bổ sung một số nội dung Quyết định số 66/2017/QĐ-UBND ngày 15/8/2017 của Ủy ban nhân dân tỉnh quy định khoảng cách và địa bàn học sinh không thể đi đến trường, trở về nhà trong ngày và tỷ lệ khoán kinh phí phục vụ việc nấu ăn cho học sinh ở xã, thôn vùng đặc biệt khó khăn trên địa bàn tỉnh Ninh Thuận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val="0"/>
          <w:i w:val="0"/>
        </w:rPr>
        <w:br/>
      </w:r>
      <w:r>
        <w:rPr>
          <w:b/>
          <w:i w:val="0"/>
        </w:rPr>
        <w:t>TỈNH NINH THUẬN</w:t>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br/>
      </w:r>
      <w:r>
        <w:rPr>
          <w:b w:val="0"/>
          <w:i w:val="0"/>
        </w:rPr>
        <w:br/>
      </w:r>
      <w:r>
        <w:rPr>
          <w:b w:val="0"/>
          <w:i w:val="0"/>
        </w:rPr>
        <w:t>Số: 98/2021/QĐ-UBND</w:t>
      </w:r>
      <w:r>
        <w:rPr>
          <w:b w:val="0"/>
          <w:i w:val="0"/>
        </w:rPr>
        <w:br/>
      </w:r>
      <w:r>
        <w:rPr>
          <w:b w:val="0"/>
          <w:i w:val="0"/>
        </w:rPr>
        <w:br/>
      </w:r>
      <w:r>
        <w:rPr>
          <w:b w:val="0"/>
          <w:i w:val="0"/>
        </w:rPr>
        <w:br/>
      </w:r>
      <w:r>
        <w:rPr>
          <w:b w:val="0"/>
          <w:i w:val="0"/>
        </w:rPr>
        <w:br/>
      </w:r>
      <w:r>
        <w:rPr>
          <w:b w:val="0"/>
          <w:i w:val="0"/>
        </w:rPr>
        <w:br/>
      </w:r>
      <w:r>
        <w:rPr>
          <w:b w:val="0"/>
          <w:i w:val="0"/>
        </w:rPr>
        <w:br/>
      </w:r>
      <w:r>
        <w:rPr>
          <w:b w:val="0"/>
          <w:i/>
        </w:rPr>
        <w:t>Ninh Thuận, ngày 31 tháng 12 năm 2021</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val="0"/>
          <w:i w:val="0"/>
        </w:rPr>
        <w:br/>
      </w:r>
      <w:r>
        <w:rPr>
          <w:b/>
          <w:i w:val="0"/>
        </w:rPr>
        <w:t>TỈNH NINH THUẬN</w:t>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br/>
      </w:r>
      <w:r>
        <w:rPr>
          <w:b w:val="0"/>
          <w:i w:val="0"/>
        </w:rPr>
        <w:br/>
      </w:r>
      <w:r>
        <w:rPr>
          <w:b w:val="0"/>
          <w:i w:val="0"/>
        </w:rPr>
        <w:t>Số: 98/2021/QĐ-UBND</w:t>
      </w:r>
      <w:r>
        <w:rPr>
          <w:b w:val="0"/>
          <w:i w:val="0"/>
        </w:rPr>
        <w:br/>
      </w:r>
      <w:r>
        <w:rPr>
          <w:b w:val="0"/>
          <w:i w:val="0"/>
        </w:rPr>
        <w:br/>
      </w:r>
      <w:r>
        <w:rPr>
          <w:b w:val="0"/>
          <w:i w:val="0"/>
        </w:rPr>
        <w:br/>
      </w:r>
      <w:r>
        <w:rPr>
          <w:b w:val="0"/>
          <w:i w:val="0"/>
        </w:rPr>
        <w:br/>
      </w:r>
      <w:r>
        <w:rPr>
          <w:b w:val="0"/>
          <w:i w:val="0"/>
        </w:rPr>
        <w:br/>
      </w:r>
      <w:r>
        <w:rPr>
          <w:b w:val="0"/>
          <w:i w:val="0"/>
        </w:rPr>
        <w:br/>
      </w:r>
      <w:r>
        <w:rPr>
          <w:b w:val="0"/>
          <w:i/>
        </w:rPr>
        <w:t>Ninh Thuận, ngày 31 tháng 12 năm 2021</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val="0"/>
                <w:i w:val="0"/>
              </w:rPr>
              <w:br/>
            </w:r>
            <w:r>
              <w:rPr>
                <w:b/>
                <w:i w:val="0"/>
              </w:rPr>
              <w:t>TỈNH NINH THUẬN</w:t>
            </w:r>
          </w:p>
        </w:tc>
        <w:tc>
          <w:tcPr>
            <w:tcW w:type="dxa" w:w="4320"/>
          </w:tcPr>
          <w:p>
            <w:r>
              <w:rPr>
                <w:b w:val="0"/>
                <w:i w:val="0"/>
              </w:rPr>
              <w:br/>
            </w:r>
            <w:r>
              <w:rPr>
                <w:b/>
                <w:i w:val="0"/>
              </w:rPr>
              <w:t>CỘNG HÒA XÃ HỘI CHỦ NGHĨA VIỆT NAM</w:t>
            </w:r>
            <w:r>
              <w:rPr>
                <w:b w:val="0"/>
                <w:i w:val="0"/>
              </w:rPr>
              <w:br/>
            </w:r>
            <w:r>
              <w:rPr>
                <w:b/>
                <w:i/>
              </w:rPr>
              <w:t>Độc lập - Tự do - Hạnh phúc</w:t>
            </w:r>
          </w:p>
        </w:tc>
      </w:tr>
    </w:tbl>
    <w:p>
      <w:pPr>
        <w:jc w:val="center"/>
      </w:pPr>
      <w:r>
        <w:rPr>
          <w:b/>
          <w:i w:val="0"/>
        </w:rPr>
        <w:t>QUYẾT ĐỊNH</w:t>
      </w:r>
      <w:r>
        <w:br/>
      </w:r>
      <w:r>
        <w:rPr>
          <w:b/>
          <w:i w:val="0"/>
        </w:rPr>
        <w:br/>
        <w:t xml:space="preserve">     Sửa đổi, bổ sung một số nội dung Quyết định số 66/2017/QĐ-UBND ngày</w:t>
      </w:r>
      <w:r>
        <w:br/>
      </w:r>
      <w:r>
        <w:rPr>
          <w:b/>
          <w:i w:val="0"/>
        </w:rPr>
        <w:br/>
        <w:t xml:space="preserve">     15/8/2017 của Ủy ban nhân dân tỉnh quy định khoảng cách và địa bàn học</w:t>
      </w:r>
      <w:r>
        <w:br/>
      </w:r>
      <w:r>
        <w:rPr>
          <w:b/>
          <w:i w:val="0"/>
        </w:rPr>
        <w:br/>
        <w:t xml:space="preserve">     sinh không thể đi đến trường, trở về nhà trong ngày và tỷ lệ khoán kinh</w:t>
      </w:r>
      <w:r>
        <w:br/>
      </w:r>
      <w:r>
        <w:rPr>
          <w:b/>
          <w:i w:val="0"/>
        </w:rPr>
        <w:br/>
        <w:t xml:space="preserve">     phí phục vụ việc nấu ăn cho học sinh ở xã, thôn vùng đặc biệt khó khăn</w:t>
      </w:r>
      <w:r>
        <w:br/>
      </w:r>
      <w:r>
        <w:rPr>
          <w:b/>
          <w:i w:val="0"/>
        </w:rPr>
        <w:br/>
        <w:t xml:space="preserve">     trên địa bàn tỉnh Ninh Thuận</w:t>
      </w:r>
    </w:p>
    <w:p>
      <w:pPr>
        <w:jc w:val="center"/>
      </w:pPr>
      <w:r>
        <w:rPr>
          <w:b/>
          <w:i w:val="0"/>
        </w:rPr>
        <w:t>ỦY BAN NHÂN DÂN TỈNH NINH THUẬN</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Giáo dục ngày 14 tháng 6 năm 2019;</w:t>
      </w:r>
    </w:p>
    <w:p>
      <w:r>
        <w:rPr>
          <w:b w:val="0"/>
          <w:i/>
        </w:rPr>
        <w:t>Căn cứ Nghị định số 34/2016/NĐ-CP ngày 14 tháng 5 năm 2016 của Chính phủ quy định chi tiết một số điều của Luật Ban hành văn bản quy phạm pháp luật;</w:t>
      </w:r>
    </w:p>
    <w:p>
      <w:r>
        <w:rPr>
          <w:b w:val="0"/>
          <w:i/>
        </w:rPr>
        <w:t>Căn cứ Nghị định số 154/2020/NĐ-CP ngày 31 tháng 12 năm 2020 của Chính phủ sửa đổi, bổ sung một số điều của Nghị định số 34/2016/NĐ-CP ngày 14/5/2016 của Chính phủ quy định chi tiết một số điều và biện pháp thi hành Luật Ban hành văn bản quy phạm pháp luật;</w:t>
      </w:r>
    </w:p>
    <w:p>
      <w:r>
        <w:rPr>
          <w:b w:val="0"/>
          <w:i/>
        </w:rPr>
        <w:t>Căn cứ Nghị định số 60/2021/NĐ-CP ngày 21 tháng 6 năm 2021 của Chính phủ quy định cơ chế tự chủ tài chính của đơn vị sự nghiệp công lập;</w:t>
      </w:r>
    </w:p>
    <w:p>
      <w:r>
        <w:rPr>
          <w:b w:val="0"/>
          <w:i/>
        </w:rPr>
        <w:t>Căn cứ Nghị định số 116/2016/NĐ-CP ngày 18 tháng 7 năm 2016 của Chính phủ quy định chính sách hỗ trợ học sinh và trường phổ thông ở xã, thôn đặc biệt khó khăn;</w:t>
      </w:r>
    </w:p>
    <w:p>
      <w:r>
        <w:rPr>
          <w:b w:val="0"/>
          <w:i/>
        </w:rPr>
        <w:t>Căn cứ Quyết định số 131/QĐ-TTg ngày 25 tháng 01 năm 2017 của Thủ tướng Chính phủ phê duyệt danh sách các xã đặc biệt khó khăn vùng bãi ngang ven biển và hải đảo giai đoạn 2016-2020;</w:t>
      </w:r>
    </w:p>
    <w:p>
      <w:r>
        <w:rPr>
          <w:b w:val="0"/>
          <w:i/>
        </w:rPr>
        <w:t>Căn cứ Quyết định số 596/QĐ-TTg ngày 25 tháng 5 năm 2018 của Thủ tướng Chính phủ sửa đổi, bổ sung Điều 2 Quyết định số 131/QĐ-TTg ngày 25 tháng 01 năm 2017 của Thủ tướng Chính phủ, phê duyệt danh sách các xã đặc biệt khó khăn vùng bãi ngang ven biển và hải đảo giai đoạn 2016-2020;</w:t>
      </w:r>
    </w:p>
    <w:p>
      <w:r>
        <w:rPr>
          <w:b w:val="0"/>
          <w:i/>
        </w:rPr>
        <w:t>Căn cứ Quyết định 861/QĐ-TTg ngày 04 tháng 6 năm 2021 của Thủ tướng Chính phủ phê duyệt danh sách các xã khu vực III, khu vực II, khu vực I thuộc vùng đồng bào dân tộc thiểu số và miền núi giai đoạn 2021-2025;</w:t>
      </w:r>
    </w:p>
    <w:p>
      <w:r>
        <w:rPr>
          <w:b w:val="0"/>
          <w:i/>
        </w:rPr>
        <w:t>Căn cứ Quyết định số 612/QĐ-UBDT ngày 16 tháng 9 năm 2021 của Bộ trưởng, Chủ nhiệm Ủy ban Dân tộc phê duyệt danh sách các thôn đặc biệt khó khăn vùng đồng bào dân tộc thiểu số và miền núi giai đoạn 2021-2025;</w:t>
      </w:r>
    </w:p>
    <w:p>
      <w:r>
        <w:rPr>
          <w:b w:val="0"/>
          <w:i/>
        </w:rPr>
        <w:t>Căn cứ Công văn số 269/LĐTBXH-VPQGGN ngày 03 tháng 02 năm 2021 của Bộ Lao động-Thương binh và Xã hội về việc thực hiện chính sách giảm nghèo, an sinh xã hội năm 2021;</w:t>
      </w:r>
    </w:p>
    <w:p>
      <w:r>
        <w:rPr>
          <w:b w:val="0"/>
          <w:i/>
        </w:rPr>
        <w:t>Căn cứ Nghị quyết số 24/2021/NQ-HĐND ngày 11 tháng 12 năm 2021 của Hội đồng nhân dân tỉnh sửa đổi, bổ sung một số nội dung Nghị quyết số 27/2017/NQ-HĐND ngày 17 tháng 7 năm 2017 của Hội đồng nhân dân tỉnh Ninh Thuận quy định khoảng cách và địa bàn học sinh không thể đến trường, trở về nhà trong ngày và tỷ lệ khoán kinh phí phục vụ việc nấu ăn cho học sinh ở xã, thôn vùng đặc biệt khó khăn trên địa bàn tỉnh Ninh Thuận;</w:t>
      </w:r>
    </w:p>
    <w:p>
      <w:r>
        <w:rPr>
          <w:b w:val="0"/>
          <w:i/>
        </w:rPr>
        <w:t>Theo đề nghị của Giám đốc Sở Giáo dục và Đào tạo tại Tờ trình số 3406/TTr-SGDĐT ngày 29 tháng 12 năm 2021 và ý kiến thẩm định của Sở Tư pháp tại Báo cáo số 2973/BC-STP ngày 29 tháng 12 năm 2021.</w:t>
      </w:r>
    </w:p>
    <w:p>
      <w:pPr>
        <w:jc w:val="center"/>
      </w:pPr>
      <w:r>
        <w:rPr>
          <w:b/>
          <w:i w:val="0"/>
        </w:rPr>
        <w:t>QUYẾT ĐỊNH:</w:t>
      </w:r>
    </w:p>
    <w:p>
      <w:r>
        <w:rPr>
          <w:b/>
          <w:i w:val="0"/>
        </w:rPr>
        <w:t>Điều 1. Sửa đổi, bổ sung một số nội dung Quyết định số 66/2017/QĐ- UBND ngày 15 tháng 8 năm 2017 của Ủy ban nhân dân tỉnh Ninh Thuận quy định khoảng cách và địa bàn học sinh không thể đi đến trường, trở về nhà trong ngày và tỷ lệ khoán kinh phí phục vụ việc nấu ăn cho học sinh ở xã, thôn vùng đặc biệt khó khăn trên địa bàn tỉnh Ninh Thuận, cụ thể như sau:</w:t>
      </w:r>
    </w:p>
    <w:p>
      <w:r>
        <w:rPr>
          <w:b w:val="0"/>
          <w:i w:val="0"/>
        </w:rPr>
        <w:t>1. Sửa đổi, bổ sung Phụ lục các vùng có địa hình cách trở, giao thông đi lại khó khăn, phải qua sông, suối không có cầu; qua đèo, núi cao; qua vùng sạt lở đất, đá trên địa bàn tỉnh (Đối với học sinh cấp Tiểu học và Trung học cơ sở) ban hành kèm theo Quyết định số 66/2017/QĐ-UBND ngày 15 tháng 8 năm 2017 của Ủy ban nhân dân tỉnh (Phụ lục đính kèm Quyết định này).</w:t>
      </w:r>
    </w:p>
    <w:p>
      <w:r>
        <w:rPr>
          <w:b w:val="0"/>
          <w:i w:val="0"/>
        </w:rPr>
        <w:t>2. Thời gian thực hiện: Từ năm học 2021 - 2022 trở đi.</w:t>
      </w:r>
    </w:p>
    <w:p>
      <w:r>
        <w:rPr>
          <w:b/>
          <w:i w:val="0"/>
        </w:rPr>
        <w:t>Điều 2. Hiệu lực thi hành</w:t>
      </w:r>
    </w:p>
    <w:p>
      <w:r>
        <w:rPr>
          <w:b w:val="0"/>
          <w:i w:val="0"/>
        </w:rPr>
        <w:t xml:space="preserve">1. Quyết định này có hiệu lực kể từ ngày 10 tháng 01 năm 2022. </w:t>
      </w:r>
    </w:p>
    <w:p>
      <w:r>
        <w:rPr>
          <w:b w:val="0"/>
          <w:i w:val="0"/>
        </w:rPr>
        <w:t>2. Chánh Văn phòng Ủy ban nhân dân tỉnh, Giám đốc các Sở, Thủ trưởng các Ban, ngành thuộc tỉnh; Chủ tịch Ủy ban nhân dân các huyện, thành phố;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t xml:space="preserve">Nơi nhận: </w:t>
            </w:r>
            <w:r>
              <w:rPr>
                <w:b w:val="0"/>
                <w:i w:val="0"/>
              </w:rPr>
              <w:br/>
            </w:r>
            <w:r>
              <w:rPr>
                <w:b w:val="0"/>
                <w:i w:val="0"/>
              </w:rPr>
              <w:br/>
            </w:r>
            <w:r>
              <w:rPr>
                <w:b w:val="0"/>
                <w:i w:val="0"/>
              </w:rPr>
              <w:br/>
            </w:r>
            <w:r>
              <w:rPr>
                <w:b w:val="0"/>
                <w:i w:val="0"/>
              </w:rPr>
              <w:br/>
            </w:r>
            <w:r>
              <w:rPr>
                <w:b w:val="0"/>
                <w:i w:val="0"/>
              </w:rPr>
              <w:br/>
            </w:r>
            <w:r>
              <w:rPr>
                <w:b w:val="0"/>
                <w:i w:val="0"/>
              </w:rPr>
              <w:br/>
            </w:r>
            <w:r>
              <w:rPr>
                <w:b w:val="0"/>
                <w:i w:val="0"/>
              </w:rPr>
              <w:t>- Văn phòng Chính phủ;</w:t>
            </w:r>
            <w:r>
              <w:rPr>
                <w:b w:val="0"/>
                <w:i w:val="0"/>
              </w:rPr>
              <w:br/>
            </w:r>
            <w:r>
              <w:rPr>
                <w:b w:val="0"/>
                <w:i w:val="0"/>
              </w:rPr>
              <w:t>- Vụ Pháp chế, Bộ Giáo dục và Đào tạo;</w:t>
            </w:r>
            <w:r>
              <w:rPr>
                <w:b w:val="0"/>
                <w:i w:val="0"/>
              </w:rPr>
              <w:br/>
            </w:r>
            <w:r>
              <w:rPr>
                <w:b w:val="0"/>
                <w:i w:val="0"/>
              </w:rPr>
              <w:t>- Vụ Pháp chế, Bộ Lao động-Thương binh và Xã hội;</w:t>
            </w:r>
            <w:r>
              <w:rPr>
                <w:b w:val="0"/>
                <w:i w:val="0"/>
              </w:rPr>
              <w:br/>
            </w:r>
            <w:r>
              <w:rPr>
                <w:b w:val="0"/>
                <w:i w:val="0"/>
              </w:rPr>
              <w:t xml:space="preserve">- Vụ Pháp chế, Bộ Tài chính; </w:t>
            </w:r>
            <w:r>
              <w:rPr>
                <w:b w:val="0"/>
                <w:i w:val="0"/>
              </w:rPr>
              <w:br/>
            </w:r>
            <w:r>
              <w:rPr>
                <w:b w:val="0"/>
                <w:i w:val="0"/>
              </w:rPr>
              <w:t>- Cục Kiểm tra văn bản QPPL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UBMTTQVN tỉnh;</w:t>
            </w:r>
            <w:r>
              <w:rPr>
                <w:b w:val="0"/>
                <w:i w:val="0"/>
              </w:rPr>
              <w:br/>
            </w:r>
            <w:r>
              <w:rPr>
                <w:b w:val="0"/>
                <w:i w:val="0"/>
              </w:rPr>
              <w:t>- Ban Tuyên giáo Tỉnh ủy;</w:t>
            </w:r>
            <w:r>
              <w:rPr>
                <w:b w:val="0"/>
                <w:i w:val="0"/>
              </w:rPr>
              <w:br/>
            </w:r>
            <w:r>
              <w:rPr>
                <w:b w:val="0"/>
                <w:i w:val="0"/>
              </w:rPr>
              <w:t>- CT và PCT UBND tỉnh;</w:t>
            </w:r>
            <w:r>
              <w:rPr>
                <w:b w:val="0"/>
                <w:i w:val="0"/>
              </w:rPr>
              <w:br/>
            </w:r>
            <w:r>
              <w:rPr>
                <w:b w:val="0"/>
                <w:i w:val="0"/>
              </w:rPr>
              <w:br/>
            </w:r>
            <w:r>
              <w:rPr>
                <w:b w:val="0"/>
                <w:i w:val="0"/>
              </w:rPr>
              <w:br/>
            </w:r>
            <w:r>
              <w:rPr>
                <w:b w:val="0"/>
                <w:i w:val="0"/>
              </w:rPr>
              <w:t>- TT.HĐND các huyện, thành phố;</w:t>
            </w:r>
            <w:r>
              <w:rPr>
                <w:b w:val="0"/>
                <w:i w:val="0"/>
              </w:rPr>
              <w:br/>
            </w:r>
            <w:r>
              <w:rPr>
                <w:b w:val="0"/>
                <w:i w:val="0"/>
              </w:rPr>
              <w:br/>
            </w:r>
            <w:r>
              <w:rPr>
                <w:b w:val="0"/>
                <w:i w:val="0"/>
              </w:rPr>
              <w:br/>
            </w:r>
            <w:r>
              <w:rPr>
                <w:b w:val="0"/>
                <w:i w:val="0"/>
              </w:rPr>
              <w:br/>
            </w:r>
            <w:r>
              <w:rPr>
                <w:b w:val="0"/>
                <w:i w:val="0"/>
              </w:rPr>
              <w:br/>
            </w:r>
            <w:r>
              <w:rPr>
                <w:b w:val="0"/>
                <w:i w:val="0"/>
              </w:rPr>
              <w:br/>
            </w:r>
            <w:r>
              <w:rPr>
                <w:b w:val="0"/>
                <w:i w:val="0"/>
              </w:rPr>
              <w:t>- Trung tâm Công nghệ thông tin và truyền thông;</w:t>
            </w:r>
            <w:r>
              <w:rPr>
                <w:b w:val="0"/>
                <w:i w:val="0"/>
              </w:rPr>
              <w:br/>
            </w:r>
            <w:r>
              <w:rPr>
                <w:b w:val="0"/>
                <w:i w:val="0"/>
              </w:rPr>
              <w:t>- Cổng thông tin điện tử tỉnh;</w:t>
            </w:r>
            <w:r>
              <w:rPr>
                <w:b w:val="0"/>
                <w:i w:val="0"/>
              </w:rPr>
              <w:br/>
            </w:r>
            <w:r>
              <w:rPr>
                <w:b w:val="0"/>
                <w:i w:val="0"/>
              </w:rPr>
              <w:t>- VPUB: LĐ, KTTH;</w:t>
            </w:r>
            <w:r>
              <w:rPr>
                <w:b w:val="0"/>
                <w:i w:val="0"/>
              </w:rPr>
              <w:br/>
            </w:r>
            <w:r>
              <w:rPr>
                <w:b w:val="0"/>
                <w:i w:val="0"/>
              </w:rPr>
              <w:t>- Lưu: VT, VXNV. NAM</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Nguyễn Long Biên</w:t>
            </w:r>
          </w:p>
        </w:tc>
      </w:tr>
    </w:tbl>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NINH THUẬN</w:t>
            </w:r>
          </w:p>
        </w:tc>
        <w:tc>
          <w:tcPr>
            <w:tcW w:type="dxa" w:w="4320"/>
          </w:tcPr>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p>
        </w:tc>
      </w:tr>
    </w:tbl>
    <w:p>
      <w:pPr>
        <w:jc w:val="center"/>
      </w:pPr>
      <w:r>
        <w:rPr>
          <w:b w:val="0"/>
          <w:i w:val="0"/>
        </w:rPr>
        <w:t>PHỤ LỤC</w:t>
      </w:r>
    </w:p>
    <w:p>
      <w:pPr>
        <w:jc w:val="center"/>
      </w:pPr>
      <w:r>
        <w:rPr>
          <w:b/>
          <w:i w:val="0"/>
        </w:rPr>
        <w:t>Các vùng có địa hình cách trở, giao thông đi lại khó khăn, phải qua sông, suối không có cầu; qua đèo, núi cao; qua vùng sạt lở, đất, đá trên địa bàn tỉnh Ninh Thuận (đối với học sinh cấp Tiểu học và Trung học cơ sở)</w:t>
      </w:r>
    </w:p>
    <w:p>
      <w:pPr>
        <w:jc w:val="center"/>
      </w:pPr>
      <w:r>
        <w:rPr>
          <w:b w:val="0"/>
          <w:i w:val="0"/>
        </w:rPr>
        <w:t xml:space="preserve"> </w:t>
      </w:r>
      <w:r>
        <w:rPr>
          <w:b w:val="0"/>
          <w:i/>
        </w:rPr>
        <w:t xml:space="preserve">(Kèm theo Quyết định số 98/2021/QĐ-UBND ngày tháng năm 20 của Ủy ban nhân dân tỉnh Ninh Thuận)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Huyện</w:t>
            </w:r>
          </w:p>
        </w:tc>
        <w:tc>
          <w:tcPr>
            <w:tcW w:type="dxa" w:w="1728"/>
          </w:tcPr>
          <w:p>
            <w:r>
              <w:rPr>
                <w:b/>
                <w:i w:val="0"/>
              </w:rPr>
              <w:t>Xã</w:t>
            </w:r>
          </w:p>
        </w:tc>
        <w:tc>
          <w:tcPr>
            <w:tcW w:type="dxa" w:w="1728"/>
          </w:tcPr>
          <w:p>
            <w:r>
              <w:rPr>
                <w:b/>
                <w:i w:val="0"/>
              </w:rPr>
              <w:t>Tên trường, địa điểm</w:t>
            </w:r>
          </w:p>
        </w:tc>
        <w:tc>
          <w:tcPr>
            <w:tcW w:type="dxa" w:w="1728"/>
          </w:tcPr>
          <w:p>
            <w:r>
              <w:rPr>
                <w:b/>
                <w:i w:val="0"/>
              </w:rPr>
              <w:t>Địa bàn thường trú của học sinh (thôn, làng)</w:t>
            </w:r>
          </w:p>
        </w:tc>
        <w:tc>
          <w:tcPr>
            <w:tcW w:type="dxa" w:w="1728"/>
          </w:tcPr>
          <w:p>
            <w:r>
              <w:rPr>
                <w:b/>
                <w:i w:val="0"/>
              </w:rPr>
              <w:t>Điều kiện về cự ly, địa hình, giao thông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Huyện</w:t>
            </w:r>
          </w:p>
        </w:tc>
        <w:tc>
          <w:tcPr>
            <w:tcW w:type="dxa" w:w="1728"/>
          </w:tcPr>
          <w:p>
            <w:r>
              <w:rPr>
                <w:b/>
                <w:i w:val="0"/>
              </w:rPr>
              <w:t>Xã</w:t>
            </w:r>
          </w:p>
        </w:tc>
        <w:tc>
          <w:tcPr>
            <w:tcW w:type="dxa" w:w="1728"/>
          </w:tcPr>
          <w:p>
            <w:r>
              <w:rPr>
                <w:b/>
                <w:i w:val="0"/>
              </w:rPr>
              <w:t>Tên trường, địa điểm</w:t>
            </w:r>
          </w:p>
        </w:tc>
        <w:tc>
          <w:tcPr>
            <w:tcW w:type="dxa" w:w="1728"/>
          </w:tcPr>
          <w:p>
            <w:r>
              <w:rPr>
                <w:b/>
                <w:i w:val="0"/>
              </w:rPr>
              <w:t>Địa bàn thường trú của học sinh (thôn, làng)</w:t>
            </w:r>
          </w:p>
        </w:tc>
        <w:tc>
          <w:tcPr>
            <w:tcW w:type="dxa" w:w="1728"/>
          </w:tcPr>
          <w:p>
            <w:r>
              <w:rPr>
                <w:b/>
                <w:i w:val="0"/>
              </w:rPr>
              <w:t>Điều kiện về cự ly, địa hình, giao thông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uyện</w:t>
            </w:r>
          </w:p>
        </w:tc>
        <w:tc>
          <w:tcPr>
            <w:tcW w:type="dxa" w:w="1728"/>
          </w:tcPr>
          <w:p>
            <w:r>
              <w:rPr>
                <w:b/>
                <w:i w:val="0"/>
              </w:rPr>
              <w:t>Xã</w:t>
            </w:r>
          </w:p>
        </w:tc>
        <w:tc>
          <w:tcPr>
            <w:tcW w:type="dxa" w:w="1728"/>
          </w:tcPr>
          <w:p>
            <w:r>
              <w:rPr>
                <w:b/>
                <w:i w:val="0"/>
              </w:rPr>
              <w:t>Tên trường, địa điểm</w:t>
            </w:r>
          </w:p>
        </w:tc>
        <w:tc>
          <w:tcPr>
            <w:tcW w:type="dxa" w:w="1728"/>
          </w:tcPr>
          <w:p>
            <w:r>
              <w:rPr>
                <w:b/>
                <w:i w:val="0"/>
              </w:rPr>
              <w:t>Địa bàn thường trú của học sinh (thôn, làng)</w:t>
            </w:r>
          </w:p>
        </w:tc>
        <w:tc>
          <w:tcPr>
            <w:tcW w:type="dxa" w:w="1728"/>
          </w:tcPr>
          <w:p>
            <w:r>
              <w:rPr>
                <w:b/>
                <w:i w:val="0"/>
              </w:rPr>
              <w:t>Điều kiện về cự ly, địa hình, giao thông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