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03/1998/QĐ.UB Về việc sử dụng quân trang dã chiến</w:t>
      </w:r>
    </w:p>
    <w:p>
      <w:r>
        <w:rPr>
          <w:b w:val="0"/>
          <w:i w:val="0"/>
        </w:rPr>
        <w:br/>
      </w:r>
      <w:r>
        <w:rPr>
          <w:b w:val="0"/>
          <w:i w:val="0"/>
        </w:rPr>
        <w:br/>
      </w:r>
      <w:r>
        <w:rPr>
          <w:b/>
          <w:i w:val="0"/>
        </w:rPr>
        <w:br/>
      </w:r>
      <w:r>
        <w:rPr>
          <w:b/>
          <w:i w:val="0"/>
        </w:rPr>
        <w:br/>
      </w:r>
      <w:r>
        <w:rPr>
          <w:b/>
          <w:i w:val="0"/>
        </w:rPr>
        <w:t>ỦY BAN NHÂN DÂN</w:t>
      </w:r>
      <w:r>
        <w:rPr>
          <w:b/>
          <w:i w:val="0"/>
        </w:rPr>
        <w:br/>
      </w:r>
      <w:r>
        <w:br/>
      </w:r>
      <w:r>
        <w:rPr>
          <w:b/>
          <w:i w:val="0"/>
        </w:rPr>
        <w:br/>
        <w:t xml:space="preserve">       TỈNH BÌNH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03/1998/QĐ.UB</w:t>
        <w:br/>
        <w:t xml:space="preserve">    </w:t>
      </w:r>
      <w:r>
        <w:rPr>
          <w:b w:val="0"/>
          <w:i w:val="0"/>
        </w:rPr>
        <w:br/>
      </w:r>
      <w:r>
        <w:rPr>
          <w:b w:val="0"/>
          <w:i/>
        </w:rPr>
        <w:br/>
        <w:t xml:space="preserve">     Bình Dương, ngày 17 tháng 1 năm 1998</w:t>
        <w:br/>
        <w:t xml:space="preserve">    </w:t>
      </w:r>
      <w:r>
        <w:rPr>
          <w:b w:val="0"/>
          <w:i w:val="0"/>
        </w:rPr>
        <w:br/>
      </w:r>
      <w:r>
        <w:rPr>
          <w:b w:val="0"/>
          <w:i w:val="0"/>
        </w:rPr>
        <w:br/>
      </w:r>
    </w:p>
    <w:p>
      <w:r>
        <w:rPr>
          <w:b w:val="0"/>
          <w:i w:val="0"/>
        </w:rPr>
        <w:br/>
      </w:r>
      <w:r>
        <w:rPr>
          <w:b/>
          <w:i w:val="0"/>
        </w:rPr>
        <w:br/>
      </w:r>
      <w:r>
        <w:rPr>
          <w:b/>
          <w:i w:val="0"/>
        </w:rPr>
        <w:br/>
      </w:r>
      <w:r>
        <w:rPr>
          <w:b/>
          <w:i w:val="0"/>
        </w:rPr>
        <w:t>ỦY BAN NHÂN DÂN</w:t>
      </w:r>
      <w:r>
        <w:rPr>
          <w:b/>
          <w:i w:val="0"/>
        </w:rPr>
        <w:br/>
      </w:r>
      <w:r>
        <w:br/>
      </w:r>
      <w:r>
        <w:rPr>
          <w:b/>
          <w:i w:val="0"/>
        </w:rPr>
        <w:br/>
        <w:t xml:space="preserve">       TỈNH BÌNH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r>
      <w:r>
        <w:rPr>
          <w:b/>
          <w:i w:val="0"/>
        </w:rPr>
        <w:t>ỦY BAN NHÂN DÂN</w:t>
      </w:r>
      <w:r>
        <w:rPr>
          <w:b w:val="0"/>
          <w:i w:val="0"/>
        </w:rPr>
        <w:br/>
      </w:r>
      <w:r>
        <w:br/>
      </w:r>
      <w:r>
        <w:rPr>
          <w:b w:val="0"/>
          <w:i w:val="0"/>
        </w:rPr>
        <w:br/>
        <w:t xml:space="preserve">       TỈNH BÌNH DƯƠNG</w:t>
        <w:br/>
        <w:t xml:space="preserve">     </w:t>
      </w:r>
      <w:r>
        <w:rPr>
          <w:b w:val="0"/>
          <w:i w:val="0"/>
        </w:rPr>
        <w:br/>
      </w:r>
      <w:r>
        <w:rPr>
          <w:b w:val="0"/>
          <w:i w:val="0"/>
        </w:rPr>
        <w:br/>
      </w:r>
    </w:p>
    <w:p>
      <w:r>
        <w:rPr>
          <w:b w:val="0"/>
          <w:i w:val="0"/>
        </w:rPr>
        <w:br/>
      </w:r>
      <w:r>
        <w:rPr>
          <w:b/>
          <w:i w:val="0"/>
        </w:rPr>
        <w:t>ỦY BAN NHÂN DÂN</w:t>
      </w:r>
      <w:r>
        <w:rPr>
          <w:b w:val="0"/>
          <w:i w:val="0"/>
        </w:rPr>
        <w:br/>
      </w:r>
      <w:r>
        <w:br/>
      </w:r>
      <w:r>
        <w:rPr>
          <w:b w:val="0"/>
          <w:i w:val="0"/>
        </w:rPr>
        <w:br/>
        <w:t xml:space="preserve">       TỈNH BÌNH DƯƠNG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03/1998/QĐ.UB</w:t>
        <w:br/>
        <w:t xml:space="preserve">    </w:t>
      </w:r>
      <w:r>
        <w:rPr>
          <w:b w:val="0"/>
          <w:i w:val="0"/>
        </w:rPr>
        <w:br/>
      </w:r>
      <w:r>
        <w:rPr>
          <w:b w:val="0"/>
          <w:i/>
        </w:rPr>
        <w:br/>
        <w:t xml:space="preserve">     Bình Dương, ngày 17 tháng 1 năm 1998</w:t>
        <w:br/>
        <w:t xml:space="preserve">    </w:t>
      </w:r>
      <w:r>
        <w:rPr>
          <w:b w:val="0"/>
          <w:i w:val="0"/>
        </w:rPr>
        <w:br/>
      </w:r>
    </w:p>
    <w:p>
      <w:pPr>
        <w:jc w:val="center"/>
      </w:pPr>
      <w:r>
        <w:rPr>
          <w:b w:val="0"/>
          <w:i w:val="0"/>
        </w:rPr>
        <w:br/>
        <w:t xml:space="preserve">     Số: 03/1998/QĐ.UB</w:t>
        <w:br/>
        <w:t xml:space="preserve">    </w:t>
      </w:r>
    </w:p>
    <w:p>
      <w:pPr>
        <w:jc w:val="center"/>
      </w:pPr>
      <w:r>
        <w:rPr>
          <w:b w:val="0"/>
          <w:i w:val="0"/>
        </w:rPr>
        <w:br/>
        <w:t xml:space="preserve">     Bình Dương, ngày 17 tháng 1 năm 1998</w:t>
        <w:br/>
        <w:t xml:space="preserve">    </w:t>
      </w:r>
    </w:p>
    <w:p>
      <w:r>
        <w:rPr>
          <w:b/>
          <w:i w:val="0"/>
        </w:rPr>
        <w:t>QUYẾT ĐỊNH CỦA ỦY BAN NHÂN DÂN</w:t>
      </w:r>
    </w:p>
    <w:p>
      <w:r>
        <w:rPr>
          <w:b/>
          <w:i w:val="0"/>
        </w:rPr>
        <w:t xml:space="preserve">Về việc sử dụng quân trang dã chiến </w:t>
      </w:r>
    </w:p>
    <w:p>
      <w:r>
        <w:rPr>
          <w:b/>
          <w:i w:val="0"/>
        </w:rPr>
        <w:t>______________</w:t>
      </w:r>
    </w:p>
    <w:p>
      <w:r>
        <w:rPr>
          <w:b/>
          <w:i w:val="0"/>
        </w:rPr>
        <w:t>ỦY BAN NHÂN DÂN</w:t>
      </w:r>
    </w:p>
    <w:p>
      <w:r>
        <w:rPr>
          <w:b w:val="0"/>
          <w:i/>
        </w:rPr>
        <w:t>- Căn cứ Luật tổ chức HĐND-UBND các cấp ngày 21/6/1994;</w:t>
      </w:r>
    </w:p>
    <w:p>
      <w:r>
        <w:rPr>
          <w:b w:val="0"/>
          <w:i/>
        </w:rPr>
        <w:t>- Căn cứ Quyết định số 1204/QĐ-QP, ngày 31/12/1997 của Bộ Quốc phòng về việc sử dụng quân phục dã chiến;</w:t>
      </w:r>
    </w:p>
    <w:p>
      <w:pPr>
        <w:jc w:val="center"/>
      </w:pPr>
      <w:r>
        <w:rPr>
          <w:b w:val="0"/>
          <w:i w:val="0"/>
        </w:rPr>
        <w:t>QUYẾT ĐỊNH</w:t>
      </w:r>
    </w:p>
    <w:p>
      <w:r>
        <w:rPr>
          <w:b/>
          <w:i w:val="0"/>
        </w:rPr>
        <w:t xml:space="preserve">Điều 1. </w:t>
      </w:r>
      <w:r>
        <w:rPr>
          <w:b w:val="0"/>
          <w:i w:val="0"/>
        </w:rPr>
        <w:t>Các lực lượng dân quân tự vệ xã, phường, thị trấn, khu ấp, đơn vị, cơ quan, nhà máy, công ty, xí nghiệp lực lượng bảo vệ chuyên trách các cơ quan, xí nghiệp (kể cả doanh nghiệp nhà nước và tư nhân) các tổ chức đoàn thể xã hội của địa phương và Trung ương đứng chân trên địa bàn tỉnh Bình Dương kể từ ngày 25/1/1998 không được sử dụng quân trang dã chiến (đồ rằn ri) trong lao động, học tập, huấn luyện và công tác.</w:t>
      </w:r>
    </w:p>
    <w:p>
      <w:r>
        <w:rPr>
          <w:b w:val="0"/>
          <w:i w:val="0"/>
        </w:rPr>
        <w:t>Riêng lực lượng quân đội và công an thực hiện theo chỉ thị của Bộ quốc phòng và Bộ Nội vụ.</w:t>
      </w:r>
    </w:p>
    <w:p>
      <w:r>
        <w:rPr>
          <w:b/>
          <w:i w:val="0"/>
        </w:rPr>
        <w:t xml:space="preserve">Điều 2. </w:t>
      </w:r>
      <w:r>
        <w:rPr>
          <w:b w:val="0"/>
          <w:i w:val="0"/>
        </w:rPr>
        <w:t>Chủ tịch UBND huyện, thị, xã, phường, thị trấn, thủ trưởng cơ quan, xí nghiệp có trách nhiệm kiểm tra tổ chức thu hồi loại quân trang nêu trên chậm nhất đến ngày 25/1/1998 phải thực hiện xong.</w:t>
      </w:r>
    </w:p>
    <w:p>
      <w:r>
        <w:rPr>
          <w:b w:val="0"/>
          <w:i w:val="0"/>
        </w:rPr>
        <w:t>Bộ Chỉ huy quân sự tỉnh phối hợp với Công an tỉnh tổ chức kiểm tra việc thực hiện quyết định này và có biện pháp xử lý nghiêm các trường hợp vi phạm. Đồng thời tham mưu cho UBND tỉnh về việc qui định trang bị quân trang cho lực lượng dân quân tự vệ và lực lượng bảo vệ chuyên trách.</w:t>
      </w:r>
    </w:p>
    <w:p>
      <w:r>
        <w:rPr>
          <w:b/>
          <w:i w:val="0"/>
        </w:rPr>
        <w:t xml:space="preserve">Điều 3. </w:t>
      </w:r>
      <w:r>
        <w:rPr>
          <w:b w:val="0"/>
          <w:i w:val="0"/>
        </w:rPr>
        <w:t>Chánh Văn phòng UBND tỉnh, Chỉ huy trưởng BCH quân sự tỉnh, Giám đốc Công an tỉnh, Chủ tịch UBND huyện, thị xã, phường, thị trấn, thủ trưởng các sở ngành, cơ quan, xí nghiệp chịu trách nhiệm thi hành quyết định này./.</w:t>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Hồ Minh Phương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Hồ Minh Phương</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Hồ Minh Phương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