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06/2024/QĐ-UBND Quy định danh mục, thời gian tính hao mòn và tỷ lệ hao mòn tài sản cố định vô hình và Danh mục tài sản cố định đặc thù thuộc phạm vi quản lý trên địa bàn tỉnh Tuyên Quang</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t>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r>
        <w:rPr>
          <w:b w:val="0"/>
          <w:i w:val="0"/>
        </w:rPr>
        <w:br/>
      </w:r>
      <w:r>
        <w:rPr>
          <w:b w:val="0"/>
          <w:i w:val="0"/>
        </w:rPr>
        <w:br/>
      </w:r>
      <w:r>
        <w:rPr>
          <w:b w:val="0"/>
          <w:i w:val="0"/>
        </w:rPr>
        <w:br/>
      </w:r>
      <w:r>
        <w:rPr>
          <w:b w:val="0"/>
          <w:i w:val="0"/>
        </w:rPr>
        <w:br/>
      </w:r>
      <w:r>
        <w:rPr>
          <w:b w:val="0"/>
          <w:i w:val="0"/>
        </w:rPr>
        <w:t>Số: 06/2024/QĐ-UBND</w:t>
      </w:r>
      <w:r>
        <w:rPr>
          <w:b w:val="0"/>
          <w:i w:val="0"/>
        </w:rPr>
        <w:br/>
      </w:r>
      <w:r>
        <w:rPr>
          <w:b w:val="0"/>
          <w:i w:val="0"/>
        </w:rPr>
        <w:br/>
      </w:r>
      <w:r>
        <w:rPr>
          <w:b w:val="0"/>
          <w:i/>
        </w:rPr>
        <w:t>Tuyên Quang, ngày 08 tháng 3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t>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r>
        <w:rPr>
          <w:b w:val="0"/>
          <w:i w:val="0"/>
        </w:rPr>
        <w:br/>
      </w:r>
      <w:r>
        <w:rPr>
          <w:b w:val="0"/>
          <w:i w:val="0"/>
        </w:rPr>
        <w:br/>
      </w:r>
      <w:r>
        <w:rPr>
          <w:b w:val="0"/>
          <w:i w:val="0"/>
        </w:rPr>
        <w:br/>
      </w:r>
      <w:r>
        <w:rPr>
          <w:b w:val="0"/>
          <w:i w:val="0"/>
        </w:rPr>
        <w:br/>
      </w:r>
      <w:r>
        <w:rPr>
          <w:b w:val="0"/>
          <w:i w:val="0"/>
        </w:rPr>
        <w:t>Số: 06/2024/QĐ-UBND</w:t>
      </w:r>
      <w:r>
        <w:rPr>
          <w:b w:val="0"/>
          <w:i w:val="0"/>
        </w:rPr>
        <w:br/>
      </w:r>
      <w:r>
        <w:rPr>
          <w:b w:val="0"/>
          <w:i w:val="0"/>
        </w:rPr>
        <w:br/>
      </w:r>
      <w:r>
        <w:rPr>
          <w:b w:val="0"/>
          <w:i/>
        </w:rPr>
        <w:t>Tuyên Quang, ngày 08 tháng 3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t>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p>
        </w:tc>
      </w:tr>
    </w:tbl>
    <w:p>
      <w:pPr>
        <w:jc w:val="center"/>
      </w:pPr>
      <w:r>
        <w:rPr>
          <w:b/>
          <w:i w:val="0"/>
        </w:rPr>
        <w:t>QUYẾT ĐỊNH</w:t>
      </w:r>
      <w:r>
        <w:br/>
      </w:r>
      <w:r>
        <w:rPr>
          <w:b/>
          <w:i w:val="0"/>
        </w:rPr>
        <w:br/>
        <w:t xml:space="preserve">      Quy định danh mục, thời gian tính hao mòn và tỷ lệ hao mòn tài sản cố định</w:t>
      </w:r>
    </w:p>
    <w:p>
      <w:pPr>
        <w:jc w:val="center"/>
      </w:pPr>
      <w:r>
        <w:rPr>
          <w:b/>
          <w:i w:val="0"/>
        </w:rPr>
        <w:t xml:space="preserve"> vô hình và Danh mục tài sản cố định đặc thù thuộc phạm vi quản lý </w:t>
      </w:r>
    </w:p>
    <w:p>
      <w:pPr>
        <w:jc w:val="center"/>
      </w:pPr>
      <w:r>
        <w:rPr>
          <w:b/>
          <w:i w:val="0"/>
        </w:rPr>
        <w:t>trên địa bàn tỉnh Tuyên Quang</w:t>
      </w:r>
    </w:p>
    <w:p>
      <w:pPr>
        <w:jc w:val="center"/>
      </w:pPr>
      <w:r>
        <w:rPr>
          <w:b w:val="0"/>
          <w:i w:val="0"/>
        </w:rPr>
        <w:t>______</w:t>
      </w:r>
      <w:r>
        <w:rPr>
          <w:b w:val="0"/>
          <w:i w:val="0"/>
        </w:rPr>
        <w:t>______</w:t>
      </w:r>
    </w:p>
    <w:p>
      <w:pPr>
        <w:jc w:val="center"/>
      </w:pPr>
      <w:r>
        <w:rPr>
          <w:b/>
          <w:i w:val="0"/>
        </w:rPr>
        <w:t>ỦY BAN NHÂN DÂN TỈNH TUYÊN QUANG</w:t>
      </w:r>
    </w:p>
    <w:p>
      <w:pPr>
        <w:jc w:val="both"/>
      </w:pPr>
      <w:r>
        <w:rPr>
          <w:b w:val="0"/>
          <w:i/>
        </w:rPr>
        <w:t>Căn cứ Luật Tổ chức chính quyền địa phương ngày 19/6/2015, đã được sửa đổi, bổ sung tại: Điều 2 Luật Sửa đổi, bổ sung một số điều của Luật Tổ chức Chính phủ và Luật Tổ chức chính quyền địa phương ngày 22/11/2019; Khoản 2 Điều 57 Luật Quy hoạch ngày 24/11/2017;</w:t>
      </w:r>
    </w:p>
    <w:p>
      <w:pPr>
        <w:jc w:val="both"/>
      </w:pPr>
      <w:r>
        <w:rPr>
          <w:b w:val="0"/>
          <w:i/>
        </w:rPr>
        <w:t>Căn cứ Luật Ban hành văn bản quy phạm pháp luật ngày 22/6/2015, đã được sửa đổi, bổ sung tại Luật Sửa đổi, bổ sung một số điều của Luật Ban hành văn bản quy phạm pháp luật ngày 18/6/2020;</w:t>
      </w:r>
    </w:p>
    <w:p>
      <w:pPr>
        <w:jc w:val="both"/>
      </w:pPr>
      <w:r>
        <w:rPr>
          <w:b w:val="0"/>
          <w:i/>
        </w:rPr>
        <w:t>Căn cứ Luật Ngân sách nhà nước ngày 25/6/2015, đã được sửa đổi, bổ sung tại khoản 3 Điều 217 Luật Doanh nghiệp ngày 17/6/2020;</w:t>
      </w:r>
    </w:p>
    <w:p>
      <w:pPr>
        <w:jc w:val="both"/>
      </w:pPr>
      <w:r>
        <w:rPr>
          <w:b w:val="0"/>
          <w:i/>
        </w:rPr>
        <w:t>Căn cứ Luật Quản lý, sử dụng tài sản công ngày 21/6/2017, đã được sửa đổi, bổ sung tại: Khoản 7 Điều 99 Luật Đầu tư theo phương thức đối tác công tư ngày 18/6/2020; Khoản 3 Điều 2 Luật Sửa đổi, bổ sung một số điều của Luật Sở hữu trí tuệ ngày 16/6/2022;</w:t>
      </w:r>
    </w:p>
    <w:p>
      <w:pPr>
        <w:jc w:val="both"/>
      </w:pPr>
      <w:r>
        <w:rPr>
          <w:b w:val="0"/>
          <w:i/>
        </w:rPr>
        <w:t>Căn cứ Nghị định số 151/2017/NĐ-CP ngày 26/12/2017 của Chính phủ quy định chi tiết một số điều của Luật Quản lý, sử dụng tài sản công;</w:t>
      </w:r>
    </w:p>
    <w:p>
      <w:pPr>
        <w:jc w:val="both"/>
      </w:pPr>
      <w:r>
        <w:rPr>
          <w:b w:val="0"/>
          <w:i/>
        </w:rPr>
        <w:t>Căn cứ Thông tư số 23/2023/TT-BTC ngày 25/4/2023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pPr>
        <w:jc w:val="both"/>
      </w:pPr>
      <w:r>
        <w:rPr>
          <w:b w:val="0"/>
          <w:i/>
        </w:rPr>
        <w:t>Theo đề nghị của Giám đốc Sở Tài chính tại Tờ trình số 09/TTr-STC ngày 18/01/2024 về việc đề nghị ban hành Quyết định quy định danh mục, thời gian tính hao mòn và tỷ lệ hao mòn tài sản cố định vô hình và Danh mục tài sản cố định đặc thù thuộc phạm vi quản lý trên địa bàn tỉnh Tuyên Quang.</w:t>
      </w:r>
    </w:p>
    <w:p>
      <w:pPr>
        <w:jc w:val="center"/>
      </w:pPr>
      <w:r>
        <w:rPr>
          <w:b/>
          <w:i w:val="0"/>
        </w:rPr>
        <w:t>QUYẾT ĐỊNH:</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Quyết định này quy định danh mục, thời gian tính hao mòn và tỷ lệ hao mòn tài sản cố định vô hình và Danh mục tài sản cố định đặc thù thuộc phạm vi quản lý trên địa bàn tỉnh Tuyên Quang.</w:t>
      </w:r>
    </w:p>
    <w:p>
      <w:pPr>
        <w:jc w:val="both"/>
      </w:pPr>
      <w:r>
        <w:rPr>
          <w:b w:val="0"/>
          <w:i w:val="0"/>
        </w:rPr>
        <w:t>2. Đối tượng áp dụng</w:t>
      </w:r>
    </w:p>
    <w:p>
      <w:pPr>
        <w:jc w:val="both"/>
      </w:pPr>
      <w:r>
        <w:rPr>
          <w:b w:val="0"/>
          <w:i w:val="0"/>
        </w:rPr>
        <w:t>a) Cơ quan Nhà nước, đơn vị sự nghiệp công lập, đơn vị lực lượng vũ trang nhân dân, cơ quan Đảng Cộng sản Việt Nam, Mặt trận Tổ quốc Việt Nam, các tổ chức sử dụng ngân sách nhà nước.</w:t>
      </w:r>
    </w:p>
    <w:p>
      <w:pPr>
        <w:jc w:val="both"/>
      </w:pPr>
      <w:r>
        <w:rPr>
          <w:b w:val="0"/>
          <w:i w:val="0"/>
        </w:rPr>
        <w:t>b) Doanh nghiệp được Nhà nước giao quản lý tài sản cố định không tính thành phần vốn nhà nước tại doanh nghiệp thuộc phạm vi quản lý trên địa bàn tỉnh Tuyên Quang.</w:t>
      </w:r>
    </w:p>
    <w:p>
      <w:pPr>
        <w:jc w:val="both"/>
      </w:pPr>
      <w:r>
        <w:rPr>
          <w:b/>
          <w:i w:val="0"/>
        </w:rPr>
        <w:t>Điều 2. Quy định danh mục, thời gian tính hao mòn và tỷ lệ hao mòn tài sản cố định vô hình; danh mục tài sản cố định đặc thù</w:t>
      </w:r>
    </w:p>
    <w:p>
      <w:pPr>
        <w:jc w:val="both"/>
      </w:pPr>
      <w:r>
        <w:rPr>
          <w:b w:val="0"/>
          <w:i w:val="0"/>
        </w:rPr>
        <w:t>1. Danh mục, thời gian tính hao mòn và tỷ lệ hao mòn tài sản cố định vô hình tại Phụ lục số 01 kèm theo Quyết định này.</w:t>
      </w:r>
    </w:p>
    <w:p>
      <w:pPr>
        <w:jc w:val="both"/>
      </w:pPr>
      <w:r>
        <w:rPr>
          <w:b w:val="0"/>
          <w:i w:val="0"/>
        </w:rPr>
        <w:t>2. Danh mục tài sản cố định đặc thù tại Phụ lục số 02 kèm theo Quyết định này.</w:t>
      </w:r>
    </w:p>
    <w:p>
      <w:pPr>
        <w:jc w:val="both"/>
      </w:pPr>
      <w:r>
        <w:rPr>
          <w:b/>
          <w:i w:val="0"/>
        </w:rPr>
        <w:t>Điều 3. Tổ chức thực hiện</w:t>
      </w:r>
    </w:p>
    <w:p>
      <w:pPr>
        <w:jc w:val="both"/>
      </w:pPr>
      <w:r>
        <w:rPr>
          <w:b w:val="0"/>
          <w:i w:val="0"/>
        </w:rPr>
        <w:t>1. Các cơ quan, tổ chức, đơn vị căn cứ các nội dung quy định tại Quyết định này, thực hiện việc ghi sổ kế toán, hạch toán, theo dõi và quản lý, sử dụng tài sản theo đúng quy định của pháp luật hiện hành.</w:t>
      </w:r>
    </w:p>
    <w:p>
      <w:pPr>
        <w:jc w:val="both"/>
      </w:pPr>
      <w:r>
        <w:rPr>
          <w:b w:val="0"/>
          <w:i w:val="0"/>
        </w:rPr>
        <w:t>2. Giao Sở Tài chính chủ trì, phối hợp với các cơ quan, đơn vị liên quan tổ chức triển khai, hướng dẫn, kiểm tra việc thực hiện Quyết định này.</w:t>
      </w:r>
    </w:p>
    <w:p>
      <w:pPr>
        <w:jc w:val="both"/>
      </w:pPr>
      <w:r>
        <w:rPr>
          <w:b/>
          <w:i w:val="0"/>
        </w:rPr>
        <w:t>Điều 4. Hiệu lực thi hành</w:t>
      </w:r>
    </w:p>
    <w:p>
      <w:pPr>
        <w:jc w:val="both"/>
      </w:pPr>
      <w:r>
        <w:rPr>
          <w:b w:val="0"/>
          <w:i w:val="0"/>
        </w:rPr>
        <w:t>1. Quyết định này có hiệu lực kể từ ngày 20 tháng 03 năm 2024 và thay thế Quyết định số 09/2020/QĐ-UBND ngày 25 tháng 7 năm 2020 của Ủy ban nhân dân tỉnh Tuyên Quang ban hành Danh mục tài sản, thời gian sử dụng, tỷ lệ hao mòn tài sản cố định hữu hình; Tài sản cố định vô hình và Danh mục tài sản cố định đặc thù thuộc phạm vi quản lý trên địa bàn tỉnh Tuyên Quang.</w:t>
      </w:r>
    </w:p>
    <w:p>
      <w:pPr>
        <w:jc w:val="both"/>
      </w:pPr>
      <w:r>
        <w:rPr>
          <w:b w:val="0"/>
          <w:i w:val="0"/>
        </w:rPr>
        <w:t>2. Chánh Văn phòng Ủy ban nhân dân tỉnh; Giám đốc Sở Tài chính; Thủ trưởng các sở, ban, ngành của tỉnh; Chủ tịch Ủy ban nhân dân huyện, thành phố; Thủ trưởng các đơn vị sự nghiệp công lập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Mạnh Tuấn</w:t>
            </w:r>
          </w:p>
        </w:tc>
      </w:tr>
    </w:tbl>
    <w:p>
      <w:r>
        <w:rPr>
          <w:b/>
          <w:i w:val="0"/>
        </w:rPr>
        <w:t>Phụ lục số 01</w:t>
      </w:r>
    </w:p>
    <w:p>
      <w:r>
        <w:rPr>
          <w:b/>
          <w:i w:val="0"/>
        </w:rPr>
        <w:t>QUY ĐỊNH</w:t>
      </w:r>
    </w:p>
    <w:p>
      <w:r>
        <w:rPr>
          <w:b/>
          <w:i w:val="0"/>
        </w:rPr>
        <w:t>THỜI GIAN TÍNH HAO MÒN VÀ TỶ LỆ HAO MÒN TÀI SẢN CỐ ĐỊNH VÔ HÌNH</w:t>
      </w:r>
      <w:r>
        <w:br/>
      </w:r>
      <w:r>
        <w:rPr>
          <w:b w:val="0"/>
          <w:i/>
        </w:rPr>
        <w:t>(Kèm theo Quyết định số: 06/2024/QĐ-UBND ngày 08 tháng 3 năm 2024 của Ủy ban nhân dân tỉnh Tuyên Quang)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Thời gian tính hao mòn (năm)</w:t>
            </w:r>
          </w:p>
        </w:tc>
        <w:tc>
          <w:tcPr>
            <w:tcW w:type="dxa" w:w="2160"/>
          </w:tcPr>
          <w:p>
            <w:r>
              <w:rPr>
                <w:b w:val="0"/>
                <w:i w:val="0"/>
              </w:rPr>
              <w:br/>
            </w:r>
            <w:r>
              <w:rPr>
                <w:b/>
                <w:i w:val="0"/>
              </w:rPr>
              <w:t>Tỷ lệ hao mòn (%/năm)</w:t>
            </w:r>
          </w:p>
        </w:tc>
      </w:tr>
    </w:tbl>
    <w:p>
      <w:r>
        <w:rPr>
          <w:b/>
          <w:i w:val="0"/>
        </w:rPr>
        <w:t>Phụ lục số 02</w:t>
      </w:r>
    </w:p>
    <w:p>
      <w:r>
        <w:rPr>
          <w:b/>
          <w:i w:val="0"/>
        </w:rPr>
        <w:t>QUY ĐỊNH</w:t>
      </w:r>
    </w:p>
    <w:p>
      <w:r>
        <w:rPr>
          <w:b w:val="0"/>
          <w:i w:val="0"/>
        </w:rPr>
        <w:t>DANH MỤC TÀI SẢN CỐ ĐỊNH ĐẶC THÙ</w:t>
      </w:r>
      <w:r>
        <w:br/>
      </w:r>
      <w:r>
        <w:rPr>
          <w:b w:val="0"/>
          <w:i/>
        </w:rPr>
        <w:t>(Kèm theo Quyết định số: 06/2024/QĐ-UBND ngày 08 tháng 3 năm 2024 của</w:t>
      </w:r>
      <w:r>
        <w:rPr>
          <w:b w:val="0"/>
          <w:i w:val="0"/>
        </w:rPr>
        <w:t xml:space="preserve"> </w:t>
      </w:r>
      <w:r>
        <w:rPr>
          <w:b w:val="0"/>
          <w:i/>
        </w:rPr>
        <w:t>Ủy ban nhân dân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DANH MỤC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