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136/2026/NĐ-CP Sửa đổi, bổ sung một số điều của Nghị định số 100/2024/NĐ-CP ngày 26 tháng 7 năm 2024 của Chính phủ quy định chi tiết một số điều của Luật Nhà ở về phát triển và quản lý nhà ở xã hội (đã được sửa đổi, bổ sung tại Nghị định số 261/2025/NĐ-CP và Nghị định số 54/2026/NĐ-CP)</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136/2026/NĐ-CP</w:t>
      </w:r>
      <w:r>
        <w:rPr>
          <w:b w:val="0"/>
          <w:i w:val="0"/>
        </w:rPr>
        <w:br/>
      </w:r>
      <w:r>
        <w:rPr>
          <w:b w:val="0"/>
          <w:i w:val="0"/>
        </w:rPr>
        <w:br/>
      </w:r>
      <w:r>
        <w:rPr>
          <w:b w:val="0"/>
          <w:i w:val="0"/>
        </w:rPr>
        <w:br/>
      </w:r>
      <w:r>
        <w:rPr>
          <w:b w:val="0"/>
          <w:i w:val="0"/>
        </w:rPr>
        <w:t>Hà Nội, ngày 07 tháng 4 năm 2026</w:t>
      </w:r>
      <w:r>
        <w:rPr>
          <w:b w:val="0"/>
          <w:i w:val="0"/>
        </w:rPr>
        <w:br/>
      </w:r>
      <w:r>
        <w:rPr>
          <w:b w:val="0"/>
          <w:i w:val="0"/>
        </w:rPr>
        <w:br/>
      </w:r>
    </w:p>
    <w:p>
      <w:r>
        <w:rPr>
          <w:b w:val="0"/>
          <w:i w:val="0"/>
        </w:rPr>
        <w:br/>
      </w:r>
      <w:r>
        <w:rPr>
          <w:b w:val="0"/>
          <w:i w:val="0"/>
        </w:rPr>
        <w:t>Số: 136/2026/NĐ-CP</w:t>
      </w:r>
      <w:r>
        <w:rPr>
          <w:b w:val="0"/>
          <w:i w:val="0"/>
        </w:rPr>
        <w:br/>
      </w:r>
    </w:p>
    <w:p>
      <w:r>
        <w:rPr>
          <w:b w:val="0"/>
          <w:i w:val="0"/>
        </w:rPr>
        <w:br/>
      </w:r>
      <w:r>
        <w:rPr>
          <w:b w:val="0"/>
          <w:i w:val="0"/>
        </w:rPr>
        <w:t>Hà Nội, ngày 07 tháng 4 năm 2026</w:t>
      </w:r>
      <w:r>
        <w:rPr>
          <w:b w:val="0"/>
          <w:i w:val="0"/>
        </w:rPr>
        <w:br/>
      </w:r>
    </w:p>
    <w:p>
      <w:pPr>
        <w:jc w:val="center"/>
      </w:pPr>
      <w:r>
        <w:rPr>
          <w:b/>
          <w:i w:val="0"/>
        </w:rPr>
        <w:t>NGHỊ ĐỊNH</w:t>
      </w:r>
      <w:r>
        <w:br/>
      </w:r>
      <w:r>
        <w:rPr>
          <w:b/>
          <w:i w:val="0"/>
        </w:rPr>
        <w:br/>
        <w:t xml:space="preserve">      Sửa đổi, bổ sung một số điều của Nghị định số 100/2024/NĐ-CP</w:t>
      </w:r>
      <w:r>
        <w:br/>
      </w:r>
      <w:r>
        <w:rPr>
          <w:b/>
          <w:i w:val="0"/>
        </w:rPr>
        <w:br/>
        <w:t xml:space="preserve">     ngày 26 tháng 7 năm 2024 của Chính phủ quy định chi tiết một số điều</w:t>
      </w:r>
      <w:r>
        <w:br/>
      </w:r>
      <w:r>
        <w:rPr>
          <w:b/>
          <w:i w:val="0"/>
        </w:rPr>
        <w:br/>
        <w:t xml:space="preserve">     của Luật Nhà ở về phát triển và quản lý nhà ở xã hội (đã được sửa đổi,</w:t>
      </w:r>
      <w:r>
        <w:br/>
      </w:r>
      <w:r>
        <w:rPr>
          <w:b/>
          <w:i w:val="0"/>
        </w:rPr>
        <w:br/>
        <w:t xml:space="preserve">     bổ sung tại Nghị định số 261/2025/NĐ-CP và Nghị định số 54/2026/NĐ-CP)</w:t>
      </w:r>
    </w:p>
    <w:p>
      <w:r>
        <w:rPr>
          <w:b w:val="0"/>
          <w:i/>
        </w:rPr>
        <w:t>Căn cứ Luật Tổ chức Chính phủ số 63/2025/QH15;</w:t>
      </w:r>
    </w:p>
    <w:p>
      <w:r>
        <w:rPr>
          <w:b w:val="0"/>
          <w:i/>
        </w:rPr>
        <w:t>Căn cứ Luật Nhà ở số 27/2023/QH15; Luật sửa đổi, bổ sung một số điều của Luật Đất đai số 31/2024/QH15, Luật Nhà ở số 27/2023/QH15, Luật Kinh doanh bất động sản số 29/2023/QH15 và Luật Các tổ chức tín dụng số 32/2024/QH15;</w:t>
      </w:r>
    </w:p>
    <w:p>
      <w:r>
        <w:rPr>
          <w:b w:val="0"/>
          <w:i/>
        </w:rPr>
        <w:t>Theo đề nghị của Bộ trưởng Bộ Xây dựng,</w:t>
      </w:r>
    </w:p>
    <w:p>
      <w:r>
        <w:rPr>
          <w:b w:val="0"/>
          <w:i w:val="0"/>
        </w:rPr>
        <w:t>Chính phủ ban hành Nghị định sửa đổi, bổ sung một số điều của Nghị định số 100/2024/NĐ-CP ngày 26 tháng 7 năm 2024 của Chính phủ quy định chi tiết một số điều của Luật Nhà ở về phát triển và quản lý nhà ở xã hội (đã được sửa đổi, bổ sung tại Nghị định số 261/2025/NĐ-CP và Nghị định số 54/2026/NĐ-CP).</w:t>
      </w:r>
    </w:p>
    <w:p>
      <w:r>
        <w:rPr>
          <w:b/>
          <w:i w:val="0"/>
        </w:rPr>
        <w:t>Điều 1. Sửa đổi, bổ sung một số điều của Nghị định số 100/2024/NĐ-CP ngày 26 tháng 7 năm 2024 của Chính phủ quy định chi tiết một số điều của Luật Nhà ở về phát triển và quản lý nhà ở xã hội, đã được sửa đổi, bổ sung tại Nghị định số 261/2025/NĐ-CP và Nghị định số 54/2026/NĐ-CP của Chính phủ (sau đây gọi là Nghị định số 100/2024/NĐ-CP sửa đổi)</w:t>
      </w:r>
    </w:p>
    <w:p>
      <w:r>
        <w:rPr>
          <w:b w:val="0"/>
          <w:i w:val="0"/>
        </w:rPr>
        <w:t>1. Sửa đổi, bổ sung khoản 1 Điều 30 như sau:</w:t>
      </w:r>
      <w:r>
        <w:br/>
      </w:r>
      <w:r>
        <w:rPr>
          <w:b w:val="0"/>
          <w:i w:val="0"/>
        </w:rPr>
        <w:br/>
        <w:t xml:space="preserve">    "Điều 30. Điều kiện về thu nhập</w:t>
      </w:r>
      <w:r>
        <w:br/>
      </w:r>
      <w:r>
        <w:rPr>
          <w:b w:val="0"/>
          <w:i w:val="0"/>
        </w:rPr>
        <w:br/>
        <w:t xml:space="preserve">    1. Đối với các đối tượng quy định tại các khoản 5, 6 và 8 Điều 76 của Luật Nhà ở thì phải đảm bảo điều kiện về thu nhập như sau:</w:t>
      </w:r>
      <w:r>
        <w:br/>
      </w:r>
      <w:r>
        <w:rPr>
          <w:b w:val="0"/>
          <w:i w:val="0"/>
        </w:rPr>
        <w:br/>
        <w:t xml:space="preserve">    a) Trường hợp người đứng đơn là người chưa kết hôn hoặc được xác nhận là độc thân thì có thu nhập bình quân hàng tháng thực nhận không quá 25 triệu đồng tính theo Bảng tiền công, tiền lương do cơ quan, đơn vị, doanh nghiệp nơi đối tượng làm việc xác nhận.</w:t>
      </w:r>
      <w:r>
        <w:br/>
      </w:r>
      <w:r>
        <w:rPr>
          <w:b w:val="0"/>
          <w:i w:val="0"/>
        </w:rPr>
        <w:br/>
        <w:t xml:space="preserve">    Trường hợp người đứng đơn là người chưa kết hôn hoặc được xác nhận là độc thân đang nuôi con dưới tuổi thành niên thì thu nhập bình quân hàng tháng thực nhận không quá 35 triệu đồng tính theo Bảng tiền công, tiền lương do cơ quan, đơn vị, doanh nghiệp nơi đối tượng làm việc xác nhận.</w:t>
      </w:r>
      <w:r>
        <w:br/>
      </w:r>
      <w:r>
        <w:rPr>
          <w:b w:val="0"/>
          <w:i w:val="0"/>
        </w:rPr>
        <w:br/>
        <w:t xml:space="preserve">    b) Trường hợp người đứng đơn đã kết hôn theo quy định của pháp luật thì người đứng đơn và vợ (chồng) của người đó có tổng thu nhập bình quân hàng tháng thực nhận không quá 50 triệu đồng tính theo Bảng tiền công, tiền lương do cơ quan, đơn vị, doanh nghiệp nơi đối tượng làm việc xác nhận.</w:t>
      </w:r>
      <w:r>
        <w:br/>
      </w:r>
      <w:r>
        <w:rPr>
          <w:b w:val="0"/>
          <w:i w:val="0"/>
        </w:rPr>
        <w:br/>
        <w:t xml:space="preserve">    c) Thời gian xác định điều kiện về thu nhập theo quy định tại điểm a, điểm b khoản này là trong 12 tháng liền kề, tính từ thời điểm cơ quan có thẩm quyền thực hiện xác nhận.</w:t>
      </w:r>
      <w:r>
        <w:br/>
      </w:r>
      <w:r>
        <w:rPr>
          <w:b w:val="0"/>
          <w:i w:val="0"/>
        </w:rPr>
        <w:br/>
        <w:t xml:space="preserve">    d) Căn cứ điều kiện, mức thu nhập của từng khu vực trên địa bàn, chính sách ưu đãi về nhà ở cho cán bộ, công chức, viên chức, số lượng người phụ thuộc theo quy định của pháp luật, Ủy ban nhân dân cấp tỉnh được quyết định hệ số điều chỉnh mức thu nhập quy định tại điểm a, điểm b khoản này nhưng không vượt quá tỷ lệ giữa thu nhập bình quân đầu người tại địa phương so với thu nhập bình quân đầu người của cả nước; quyết định chính sách khuyến khích tiếp cận nhà ở xã hội đối với đối tượng được hưởng chính sách hỗ trợ về nhà ở xã hội có từ ba (03) người phụ thuộc trở lên trong cùng một hộ gia đình."</w:t>
      </w:r>
    </w:p>
    <w:p>
      <w:r>
        <w:rPr>
          <w:b w:val="0"/>
          <w:i w:val="0"/>
        </w:rPr>
        <w:t>2. Sửa đổi, bổ sung khoản 1 và khoản 2 Điều 67 như sau:</w:t>
      </w:r>
      <w:r>
        <w:br/>
      </w:r>
      <w:r>
        <w:rPr>
          <w:b w:val="0"/>
          <w:i w:val="0"/>
        </w:rPr>
        <w:br/>
        <w:t xml:space="preserve">    "1. Trường hợp người đứng đơn là người độc thân thì có thu nhập hàng tháng thực nhận không quá tổng thu nhập của sỹ quan có cấp bậc hàm Đại tá (gồm lương cơ bản và phụ cấp theo quy định, bao gồm cả phụ cấp khu vực tại các địa bàn vùng sâu, vùng xa, biên giới, hải đảo có điều kiện khó khăn) được cơ quan, đơn vị nơi công tác, quản lý xác nhận."</w:t>
      </w:r>
    </w:p>
    <w:p>
      <w:r>
        <w:rPr>
          <w:b w:val="0"/>
          <w:i w:val="0"/>
        </w:rPr>
        <w:t>2. Trường hợp người đứng đơn đã kết hôn theo quy định của pháp luật:</w:t>
      </w:r>
    </w:p>
    <w:p>
      <w:r>
        <w:rPr>
          <w:b w:val="0"/>
          <w:i w:val="0"/>
        </w:rPr>
        <w:t>a) Người đứng đơn và vợ (chồng) của người đó đều thuộc đối tượng quy định tại khoản 7 Điều 76 của Luật Nhà ở thì có tổng thu nhập hàng tháng thực nhận không quá 2,0 lần tổng thu nhập của sỹ quan có cấp bậc hàm Đại tá (gồm lương cơ bản và phụ cấp theo quy định, bao gồm cả phụ cấp khu vực tại các địa bàn vùng sâu, vùng xa, biên giới, hải đảo có điều kiện khó khăn) được cơ quan đơn vị nơi công tác, quản lý xác nhận;</w:t>
      </w:r>
    </w:p>
    <w:p>
      <w:r>
        <w:rPr>
          <w:b w:val="0"/>
          <w:i w:val="0"/>
        </w:rPr>
        <w:t>b) Vợ (chồng) của người đứng đơn không thuộc đối tượng quy định tại khoản 7 Điều 76 của Luật Nhà ở thì có tổng thu nhập hàng tháng thực nhận không quá tổng thu nhập của sỹ quan có cấp bậc hàm Đại tá (gồm lương cơ bản và phụ cấp theo quy định, bao gồm cả phụ cấp khu vực tại các địa bàn vùng sâu, vùng xa, biên giới, hải đảo có điều kiện khó khăn) cộng với mức lương quy định tại điểm a khoản 1 Điều 30 Nghị định này được cơ quan, đơn vị, doanh nghiệp nơi đối tượng làm việc xác nhận.</w:t>
      </w:r>
      <w:r>
        <w:br/>
      </w:r>
      <w:r>
        <w:rPr>
          <w:b w:val="0"/>
          <w:i w:val="0"/>
        </w:rPr>
        <w:br/>
        <w:t xml:space="preserve">    Trường hợp vợ (chồng) của người đứng đơn thuộc đối tượng quy định tại khoản 5 Điều 76 của Luật Nhà ở trong trường hợp không có Hợp đồng lao động thì thực hiện việc xác nhận điều kiện về thu nhập theo quy định tại khoản 2 Điều 30 của Nghị định này."</w:t>
      </w:r>
    </w:p>
    <w:p>
      <w:r>
        <w:rPr>
          <w:b w:val="0"/>
          <w:i w:val="0"/>
        </w:rPr>
        <w:t>3. Sửa đổi, bổ sung Mẫu số 01 tại Phụ lục II (đơn đăng ký mua, thuê mua, thuê nhà ở xã hội).</w:t>
      </w:r>
    </w:p>
    <w:p>
      <w:r>
        <w:rPr>
          <w:b/>
          <w:i w:val="0"/>
        </w:rPr>
        <w:t>Điều 2. Điều khoản chuyển tiếp</w:t>
      </w:r>
    </w:p>
    <w:p>
      <w:r>
        <w:rPr>
          <w:b w:val="0"/>
          <w:i w:val="0"/>
        </w:rPr>
        <w:t>Các giấy tờ chứng minh điều kiện về thu nhập để được hưởng chính sách hỗ trợ về nhà ở xã hội đã được cơ quan có thẩm quyền xác nhận theo quy định trước ngày Nghị định này có hiệu lực thi hành thì tiếp tục được sử dụng và có giá trị trong thời hạn 12 tháng, kể từ ngày được xác nhận.</w:t>
      </w:r>
    </w:p>
    <w:p>
      <w:r>
        <w:rPr>
          <w:b/>
          <w:i w:val="0"/>
        </w:rPr>
        <w:t>Điều 3. Hiệu lực thi hành</w:t>
      </w:r>
    </w:p>
    <w:p>
      <w:r>
        <w:rPr>
          <w:b w:val="0"/>
          <w:i w:val="0"/>
        </w:rPr>
        <w:t>Nghị định này có hiệu lực thi hành từ ngày 07 tháng 04 năm 2026.</w:t>
      </w:r>
    </w:p>
    <w:p>
      <w:r>
        <w:rPr>
          <w:b/>
          <w:i w:val="0"/>
        </w:rPr>
        <w:t>Điều 4. Trách nhiệm tổ chức thực hiện</w:t>
      </w:r>
    </w:p>
    <w:p>
      <w:r>
        <w:rPr>
          <w:b w:val="0"/>
          <w:i w:val="0"/>
        </w:rPr>
        <w:t>1. Bộ trưởng Bộ Xây dựng có trách nhiệm hướng dẫn và tổ chức thực hiện Nghị định này.</w:t>
      </w:r>
    </w:p>
    <w:p>
      <w:r>
        <w:rPr>
          <w:b w:val="0"/>
          <w:i w:val="0"/>
        </w:rPr>
        <w:t>2. Các Bộ trưởng, Thủ trưởng cơ quan ngang bộ, Chủ tịch Ủy ban nhân dân tỉnh, thành phố trực thuộc trung ương và các cơ quan liên quan chịu trách nhiệm tổ chức thực hiện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br/>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br/>
            </w:r>
            <w:r>
              <w:rPr>
                <w:b w:val="0"/>
                <w:i w:val="0"/>
              </w:rPr>
              <w:br/>
            </w:r>
            <w:r>
              <w:rPr>
                <w:b w:val="0"/>
                <w:i w:val="0"/>
              </w:rPr>
              <w:t>Các bộ, cơ quan ngang bộ;</w:t>
            </w:r>
            <w:r>
              <w:rPr>
                <w:b w:val="0"/>
                <w:i w:val="0"/>
              </w:rPr>
              <w:br/>
            </w:r>
            <w:r>
              <w:rPr>
                <w:b w:val="0"/>
                <w:i w:val="0"/>
              </w:rPr>
              <w:t>Văn phòng Trung ương và các Ban của Đảng;</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Hội đồng Dân tộc và các Ủy ban của Quốc hội;</w:t>
            </w:r>
            <w:r>
              <w:rPr>
                <w:b w:val="0"/>
                <w:i w:val="0"/>
              </w:rPr>
              <w:br/>
            </w:r>
            <w:r>
              <w:rPr>
                <w:b w:val="0"/>
                <w:i w:val="0"/>
              </w:rPr>
              <w:t>Văn phòng Quốc hội;</w:t>
            </w:r>
            <w:r>
              <w:rPr>
                <w:b w:val="0"/>
                <w:i w:val="0"/>
              </w:rPr>
              <w:br/>
            </w:r>
            <w:r>
              <w:rPr>
                <w:b w:val="0"/>
                <w:i w:val="0"/>
              </w:rPr>
              <w:t>Tòa án nhân dân tối cao;</w:t>
            </w:r>
            <w:r>
              <w:rPr>
                <w:b w:val="0"/>
                <w:i w:val="0"/>
              </w:rPr>
              <w:br/>
            </w:r>
            <w:r>
              <w:rPr>
                <w:b w:val="0"/>
                <w:i w:val="0"/>
              </w:rPr>
              <w:t>Viện kiểm sát nhân dân tối cao;</w:t>
            </w:r>
            <w:r>
              <w:rPr>
                <w:b w:val="0"/>
                <w:i w:val="0"/>
              </w:rPr>
              <w:br/>
            </w:r>
            <w:r>
              <w:rPr>
                <w:b w:val="0"/>
                <w:i w:val="0"/>
              </w:rPr>
              <w:t>Kiểm toán nhà nước;</w:t>
            </w:r>
            <w:r>
              <w:rPr>
                <w:b w:val="0"/>
                <w:i w:val="0"/>
              </w:rPr>
              <w:br/>
            </w:r>
            <w:r>
              <w:rPr>
                <w:b w:val="0"/>
                <w:i w:val="0"/>
              </w:rPr>
              <w:t>Ủy ban Trung ương Mặt trận Tổ quốc Việt Nam;</w:t>
            </w:r>
            <w:r>
              <w:rPr>
                <w:b w:val="0"/>
                <w:i w:val="0"/>
              </w:rPr>
              <w:br/>
            </w:r>
            <w:r>
              <w:rPr>
                <w:b w:val="0"/>
                <w:i w:val="0"/>
              </w:rPr>
              <w:t>Cơ quan trung ương của các tổ chức chính trị - xã hội;</w:t>
            </w:r>
            <w:r>
              <w:rPr>
                <w:b w:val="0"/>
                <w:i w:val="0"/>
              </w:rPr>
              <w:br/>
            </w:r>
            <w:r>
              <w:rPr>
                <w:b w:val="0"/>
                <w:i w:val="0"/>
              </w:rPr>
              <w:t>VPCP: BTCN, các PCN, Trợ lý TTg, TGĐ Công TTĐT,</w:t>
            </w:r>
            <w:r>
              <w:rPr>
                <w:b w:val="0"/>
                <w:i w:val="0"/>
              </w:rPr>
              <w:br/>
            </w:r>
            <w:r>
              <w:rPr>
                <w:b w:val="0"/>
                <w:i w:val="0"/>
              </w:rPr>
              <w:t>các Vụ, Cục, đơn vị trực thuộc, Công báo;</w:t>
            </w:r>
            <w:r>
              <w:rPr>
                <w:b w:val="0"/>
                <w:i w:val="0"/>
              </w:rPr>
              <w:br/>
            </w:r>
            <w:r>
              <w:rPr>
                <w:b w:val="0"/>
                <w:i w:val="0"/>
              </w:rPr>
              <w:t>Luu: VT, CN (2b). 70</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i w:val="0"/>
              </w:rPr>
              <w:t>Trần Hồng Hà</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