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Sắc lệnh số 161 cử ông Lê Đức Quang giữ chức giám đốc Nha pháp chính Bộ nội vụ kể từ ngày 1 tháng 4 năm 1948</w:t>
      </w:r>
    </w:p>
    <w:p>
      <w:r>
        <w:rPr>
          <w:b/>
          <w:i w:val="0"/>
        </w:rPr>
        <w:t>SẮC LỆNH</w:t>
      </w:r>
    </w:p>
    <w:p>
      <w:r>
        <w:rPr>
          <w:b/>
          <w:i w:val="0"/>
        </w:rPr>
        <w:t>SỐ: 161 NGÀY 14 THÁNG 4 NĂM 1948</w:t>
      </w:r>
    </w:p>
    <w:p>
      <w:r>
        <w:rPr>
          <w:b/>
          <w:i w:val="0"/>
        </w:rPr>
        <w:t>CỦA CHỦ TỊCH CHÍNH PHỦ VIỆT NAM DÂN CHỦ CỘNG HOÀ</w:t>
      </w:r>
    </w:p>
    <w:p>
      <w:r>
        <w:rPr>
          <w:b w:val="0"/>
          <w:i w:val="0"/>
        </w:rPr>
        <w:t>CHỦ TỊCH CHÍNH PHỦ VIỆT NAM DÂN CHỦ CỘNG HOÀ</w:t>
      </w:r>
    </w:p>
    <w:p>
      <w:r>
        <w:rPr>
          <w:b w:val="0"/>
          <w:i/>
        </w:rPr>
        <w:t>Chiểu sắc lệnh số 57 ngày 3-5-1946 quy định việc tổ chức các Bộ,</w:t>
      </w:r>
    </w:p>
    <w:p>
      <w:r>
        <w:rPr>
          <w:b w:val="0"/>
          <w:i/>
        </w:rPr>
        <w:t>Chiểu sắc lệnh số 58 3-5-1946 tổ chức Bộ Nội vụ,</w:t>
      </w:r>
    </w:p>
    <w:p>
      <w:r>
        <w:rPr>
          <w:b w:val="0"/>
          <w:i/>
        </w:rPr>
        <w:t xml:space="preserve">Chiểu đề nghị của ông Bộ trưởng Bộ Nội vụ, </w:t>
      </w:r>
    </w:p>
    <w:p>
      <w:r>
        <w:rPr>
          <w:b/>
          <w:i w:val="0"/>
        </w:rPr>
        <w:t>RA SẮC LỆNH:</w:t>
      </w:r>
    </w:p>
    <w:p>
      <w:r>
        <w:rPr>
          <w:b/>
          <w:i w:val="0"/>
        </w:rPr>
        <w:t>Điều 1</w:t>
      </w:r>
    </w:p>
    <w:p>
      <w:r>
        <w:rPr>
          <w:b w:val="0"/>
          <w:i w:val="0"/>
        </w:rPr>
        <w:t>Nay cử ông Lê Đức Quang, giữ chức Giám đốc Nha pháp chính bộ nội vụ kể từ ngày 1-4-1948.</w:t>
      </w:r>
    </w:p>
    <w:p>
      <w:r>
        <w:rPr>
          <w:b/>
          <w:i w:val="0"/>
        </w:rPr>
        <w:t>Điều 2</w:t>
      </w:r>
    </w:p>
    <w:p>
      <w:r>
        <w:rPr>
          <w:b w:val="0"/>
          <w:i w:val="0"/>
        </w:rPr>
        <w:t>Ông Bộ trưởng Bộ Nội vụ chiểu sắc lệnh thi hành.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Hồ Chí Minh</w:t>
      </w:r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Hồ Chí Minh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(Đã ký)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