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16/2021/QĐ-UBND Ban hành quy định về quản lý, sử dụng nhà chung cư trên địa bàn tỉnh Bình Dương</w:t>
      </w:r>
    </w:p>
    <w:p>
      <w:r>
        <w:rPr>
          <w:b w:val="0"/>
          <w:i w:val="0"/>
        </w:rPr>
        <w:br/>
      </w:r>
      <w:r>
        <w:rPr>
          <w:b w:val="0"/>
          <w:i w:val="0"/>
        </w:rPr>
        <w:br/>
      </w:r>
      <w:r>
        <w:rPr>
          <w:b w:val="0"/>
          <w:i w:val="0"/>
        </w:rPr>
        <w:br/>
      </w:r>
      <w:r>
        <w:rPr>
          <w:b w:val="0"/>
          <w:i w:val="0"/>
        </w:rPr>
        <w:br/>
      </w:r>
      <w:r>
        <w:rPr>
          <w:b w:val="0"/>
          <w:i w:val="0"/>
        </w:rPr>
        <w:br/>
      </w:r>
      <w:r>
        <w:rPr>
          <w:b/>
          <w:i w:val="0"/>
        </w:rPr>
        <w:t xml:space="preserve">ỦY BAN NHÂN DÂN </w:t>
      </w:r>
      <w:r>
        <w:br/>
      </w:r>
      <w:r>
        <w:rPr>
          <w:b/>
          <w:i w:val="0"/>
        </w:rPr>
        <w:br/>
        <w:t xml:space="preserve">          TỈNH BÌNH DƯƠNG </w:t>
      </w:r>
      <w:r>
        <w:br/>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val="0"/>
        </w:rPr>
        <w:br/>
      </w:r>
      <w:r>
        <w:rPr>
          <w:b w:val="0"/>
          <w:i w:val="0"/>
        </w:rPr>
        <w:br/>
      </w:r>
      <w:r>
        <w:rPr>
          <w:b w:val="0"/>
          <w:i w:val="0"/>
        </w:rPr>
        <w:br/>
      </w:r>
      <w:r>
        <w:rPr>
          <w:b w:val="0"/>
          <w:i w:val="0"/>
        </w:rPr>
        <w:t>Số: 16/2021/QĐ-UBND</w:t>
      </w:r>
      <w:r>
        <w:rPr>
          <w:b w:val="0"/>
          <w:i w:val="0"/>
        </w:rPr>
        <w:br/>
      </w:r>
      <w:r>
        <w:rPr>
          <w:b w:val="0"/>
          <w:i w:val="0"/>
        </w:rPr>
        <w:br/>
      </w:r>
      <w:r>
        <w:rPr>
          <w:b w:val="0"/>
          <w:i/>
        </w:rPr>
        <w:t>Bình Dương, ngày 27 tháng 9 năm 2021</w:t>
      </w:r>
      <w:r>
        <w:rPr>
          <w:b w:val="0"/>
          <w:i w:val="0"/>
        </w:rPr>
        <w:br/>
      </w:r>
      <w:r>
        <w:rPr>
          <w:b w:val="0"/>
          <w:i w:val="0"/>
        </w:rPr>
        <w:br/>
      </w:r>
      <w:r>
        <w:rPr>
          <w:b w:val="0"/>
          <w:i w:val="0"/>
        </w:rPr>
        <w:br/>
      </w:r>
      <w:r>
        <w:rPr>
          <w:b w:val="0"/>
          <w:i w:val="0"/>
        </w:rPr>
        <w:br/>
      </w:r>
      <w:r>
        <w:rPr>
          <w:b w:val="0"/>
          <w:i w:val="0"/>
        </w:rPr>
        <w:t xml:space="preserve"> </w:t>
      </w:r>
      <w:r>
        <w:rPr>
          <w:b/>
          <w:i w:val="0"/>
        </w:rPr>
        <w:t>QUYẾT ĐỊNH</w:t>
      </w:r>
      <w:r>
        <w:rPr>
          <w:b w:val="0"/>
          <w:i w:val="0"/>
        </w:rPr>
        <w:br/>
      </w:r>
      <w:r>
        <w:rPr>
          <w:b/>
          <w:i w:val="0"/>
        </w:rPr>
        <w:t xml:space="preserve">Ban hành quy định về quản lý, sử dụng nhà chung cư </w:t>
      </w:r>
      <w:r>
        <w:br/>
      </w:r>
      <w:r>
        <w:rPr>
          <w:b/>
          <w:i w:val="0"/>
        </w:rPr>
        <w:br/>
        <w:t xml:space="preserve">      trên địa bàn tỉnh Bình Dương</w:t>
      </w:r>
      <w:r>
        <w:rPr>
          <w:b w:val="0"/>
          <w:i w:val="0"/>
        </w:rPr>
        <w:br/>
      </w:r>
      <w:r>
        <w:rPr>
          <w:b/>
          <w:i w:val="0"/>
        </w:rPr>
        <w:t>ỦY BAN NHÂN DÂN TỈNH BÌNH DƯƠNG</w:t>
      </w:r>
      <w:r>
        <w:rPr>
          <w:b w:val="0"/>
          <w:i w:val="0"/>
        </w:rPr>
        <w:br/>
      </w:r>
      <w:r>
        <w:rPr>
          <w:b w:val="0"/>
          <w:i/>
        </w:rPr>
        <w:t>Căn cứ Luật Tổ chức chính quyền địa phương ngày 19 tháng 6 năm 2015 và Luật Sửa đổi, bổ sung một số điều của Luật Tổ chức Chính phủ và Luật Tổ chức chính quyền địa phương ngày 22 tháng 11 năm 2019;</w:t>
      </w:r>
      <w:r>
        <w:rPr>
          <w:b w:val="0"/>
          <w:i w:val="0"/>
        </w:rPr>
        <w:br/>
      </w:r>
      <w:r>
        <w:rPr>
          <w:b w:val="0"/>
          <w:i/>
        </w:rPr>
        <w:t xml:space="preserve"> Căn cứ Luật Ban hành văn bản quy phạm pháp luật ngày 22 tháng 6 năm 2015 và Luật Sửa đổi, bổ sung một số điều của Luật Ban hành văn bản quy phạm pháp luật ngày 18 tháng 6 năm 2020;</w:t>
      </w:r>
      <w:r>
        <w:rPr>
          <w:b w:val="0"/>
          <w:i w:val="0"/>
        </w:rPr>
        <w:br/>
      </w:r>
      <w:r>
        <w:rPr>
          <w:b w:val="0"/>
          <w:i/>
        </w:rPr>
        <w:t xml:space="preserve"> Căn cứ Luật Nhà ở ngày 25 tháng 11 năm 2014;</w:t>
      </w:r>
      <w:r>
        <w:rPr>
          <w:b w:val="0"/>
          <w:i w:val="0"/>
        </w:rPr>
        <w:br/>
      </w:r>
      <w:r>
        <w:rPr>
          <w:b w:val="0"/>
          <w:i/>
        </w:rPr>
        <w:t xml:space="preserve"> Căn cứ Luật Xây dựng ngày 18 tháng 6 năm 2014 và Luật Sửa đổi, bổ sung một số điều của Luật Xây dựng ngày 17 tháng 6 năm 2020;</w:t>
      </w:r>
      <w:r>
        <w:rPr>
          <w:b w:val="0"/>
          <w:i w:val="0"/>
        </w:rPr>
        <w:br/>
      </w:r>
      <w:r>
        <w:rPr>
          <w:b w:val="0"/>
          <w:i/>
        </w:rPr>
        <w:t>Căn cứ Luật Đầu tư theo phương thức đối tác công tư ngày 18 tháng 6 năm 2020;</w:t>
      </w:r>
      <w:r>
        <w:rPr>
          <w:b/>
          <w:i/>
        </w:rPr>
        <w:t xml:space="preserve"> </w:t>
      </w:r>
      <w:r>
        <w:rPr>
          <w:b w:val="0"/>
          <w:i w:val="0"/>
        </w:rPr>
        <w:br/>
      </w:r>
      <w:r>
        <w:rPr>
          <w:b w:val="0"/>
          <w:i/>
        </w:rPr>
        <w:t xml:space="preserve"> Căn cứ Nghị định số 99/2015/NĐ-CP ngày 20 tháng 10 năm 2015 của Chính phủ quy định chi tiết và hướng dẫn thi hành một số điều của Luật Nhà ở;</w:t>
      </w:r>
      <w:r>
        <w:rPr>
          <w:b w:val="0"/>
          <w:i w:val="0"/>
        </w:rPr>
        <w:br/>
      </w:r>
      <w:r>
        <w:rPr>
          <w:b w:val="0"/>
          <w:i/>
        </w:rPr>
        <w:t xml:space="preserve"> Căn cứ Nghị định số 30/2021/NĐ-CP ngày 26 tháng 3 năm 2021 của Chính phủ sửa đổi, bổ sung một số điều của Nghị định số 99/2015/NĐ-CP ngày 20 tháng 10 năm 2015 của Chính phủ quy định chi tiết và hướng dẫn thi hành một số điều của Luật Nhà ở;</w:t>
      </w:r>
      <w:r>
        <w:rPr>
          <w:b w:val="0"/>
          <w:i w:val="0"/>
        </w:rPr>
        <w:br/>
      </w:r>
      <w:r>
        <w:rPr>
          <w:b w:val="0"/>
          <w:i/>
        </w:rPr>
        <w:t xml:space="preserve"> Căn cứ Nghị định số 100/2015/NĐ-CP ngày 20 tháng 10 năm 2015 của Chính phủ về phát triển và quản lý nhà ở xã hội;</w:t>
      </w:r>
      <w:r>
        <w:rPr>
          <w:b w:val="0"/>
          <w:i w:val="0"/>
        </w:rPr>
        <w:br/>
      </w:r>
      <w:r>
        <w:rPr>
          <w:b w:val="0"/>
          <w:i/>
        </w:rPr>
        <w:t xml:space="preserve"> Căn cứ Nghị định số 49/2021/NĐ-CP ngày 01 tháng 4 năm 2021 của Chính phủ sửa đổi, bổ sung một số điều của Nghị định số 100/2015/NĐ-CP ngày 20 tháng 10 năm 2015 của Chính phủ về phát triển và quản lý nhà ở xã hội;</w:t>
      </w:r>
      <w:r>
        <w:rPr>
          <w:b w:val="0"/>
          <w:i w:val="0"/>
        </w:rPr>
        <w:br/>
      </w:r>
      <w:r>
        <w:rPr>
          <w:b w:val="0"/>
          <w:i/>
        </w:rPr>
        <w:t xml:space="preserve"> Căn cứ Nghị định số 174/2016/NĐ-CP ngày 30 tháng 12 năm 2016 của Chính phủ quy định chi tiết một số điều của Luật Kế toán;</w:t>
      </w:r>
      <w:r>
        <w:rPr>
          <w:b w:val="0"/>
          <w:i w:val="0"/>
        </w:rPr>
        <w:br/>
      </w:r>
      <w:r>
        <w:rPr>
          <w:b w:val="0"/>
          <w:i/>
        </w:rPr>
        <w:t xml:space="preserve"> Căn cứ Nghị định số 139/2017/NĐ-CP ngày 27 tháng 11 năm 2017 của Chính phủ quy định xử phạt vi phạm hành chính trong hoạt động đầu tư xây dựng; khai thác, chế biến, kinh doanh khoáng sản làm vật liệu xây dựng, sản xuất, kinh doanh vật liệu xây dựng; quản lý công trình hạ tầng kỹ thuật; kinh doanh bất động sản, phát triển nhà ở, quản lý sử dụng nhà và công sở; </w:t>
      </w:r>
      <w:r>
        <w:rPr>
          <w:b w:val="0"/>
          <w:i w:val="0"/>
        </w:rPr>
        <w:br/>
      </w:r>
      <w:r>
        <w:rPr>
          <w:b w:val="0"/>
          <w:i/>
        </w:rPr>
        <w:t xml:space="preserve"> Căn cứ Nghị định số 21/2020/NĐ-CP ngày 17 tháng 02 năm 2020 của Chính phủ sửa đổi, bổ sung một số điều của Nghị định số 139/2017/NĐ-CP ngày 27 tháng 11 năm 2017 của Chính phủ quy định xử phạt vi phạm hành chính trong hoạt động đầu tư xây dựng; khai thác, chế biến, kinh doanh khoáng sản làm vật liệu xây dựng, sản xuất, kinh doanh vật liệu xây dựng; quản lý công trình hạ tầng kỹ thuật; kinh doanh bất động sản, phát triển nhà ở, quản lý sử dụng nhà và công sở;</w:t>
      </w:r>
      <w:r>
        <w:rPr>
          <w:b w:val="0"/>
          <w:i w:val="0"/>
        </w:rPr>
        <w:br/>
      </w:r>
      <w:r>
        <w:rPr>
          <w:b w:val="0"/>
          <w:i/>
        </w:rPr>
        <w:t xml:space="preserve"> Căn cứ Nghị định số 91/2019/NĐ-CP ngày 19 tháng 11 năm 2019 của Chính phủ về xử phạt vi phạm hành chính trong lĩnh vực đất đai;</w:t>
      </w:r>
      <w:r>
        <w:rPr>
          <w:b w:val="0"/>
          <w:i w:val="0"/>
        </w:rPr>
        <w:br/>
      </w:r>
      <w:r>
        <w:rPr>
          <w:b w:val="0"/>
          <w:i/>
        </w:rPr>
        <w:t xml:space="preserve"> Căn cứ Nghị định số 06/2021/NĐ-CP ngày 26 tháng 01 năm 2021 của Chính phủ quy định chi tiết một số nội dung về quản lý chất lượng, thi công xây dựng và bảo trì công trình xây dựng; </w:t>
      </w:r>
      <w:r>
        <w:rPr>
          <w:b w:val="0"/>
          <w:i w:val="0"/>
        </w:rPr>
        <w:br/>
      </w:r>
      <w:r>
        <w:rPr>
          <w:b w:val="0"/>
          <w:i/>
        </w:rPr>
        <w:t xml:space="preserve"> Căn cứ Thông tư số 02/2016/TT-BXD ngày 15 tháng 02 năm 2016 của Bộ Xây dựng về ban hành Quy chế quản lý sử dụng nhà chung cư; </w:t>
      </w:r>
      <w:r>
        <w:rPr>
          <w:b w:val="0"/>
          <w:i w:val="0"/>
        </w:rPr>
        <w:br/>
      </w:r>
      <w:r>
        <w:rPr>
          <w:b w:val="0"/>
          <w:i/>
        </w:rPr>
        <w:t xml:space="preserve"> Căn cứ Thông tư số 28/2016/TT-BXD ngày 15 tháng 12 năm 2016 của Bộ xây dựng sửa đổi bổ sung một số quy định của thông tư số 10/2015/TT-BXD ngày 30 tháng 12 năm 2015 của Bộ Xây dựng quy định việc đào tạo, bồi dưỡng kiến thức chuyên môn, nghiệp vụ quản lý vận hành nhà chung cư, Thông tư số 11/2015/TT-BXD ngày 30 tháng 12 năm 2015 của Bộ Xây dựng quy định việc việc cấp chứng chỉ hành nghề môi giới bất động sản; hướng dẫn việc đào tạo, bồi dưỡng kiến thức hành nghề môi giới bất động sản, điều hành sàn giao dịch bất động sản và một số quy định của quy chế quản lý, sử dụng nhà chung cư ban hành kèm theo Thông tư số 02/2016/TT-BXD ngày 15 tháng 02 năm 2016 của Bộ trưởng Bộ Xây dựng;</w:t>
      </w:r>
      <w:r>
        <w:rPr>
          <w:b w:val="0"/>
          <w:i w:val="0"/>
        </w:rPr>
        <w:br/>
      </w:r>
      <w:r>
        <w:rPr>
          <w:b w:val="0"/>
          <w:i/>
        </w:rPr>
        <w:t xml:space="preserve"> Căn cứ Thông tư</w:t>
      </w:r>
      <w:r>
        <w:rPr>
          <w:b w:val="0"/>
          <w:i/>
        </w:rPr>
        <w:t xml:space="preserve"> số 06/2019/TT-BXD ngày 31 tháng 10 năm 2019 của Bộ Xây dựng về việc sửa đổi, bổ sung một số điều của các Thông tư liên quan đến quản lý, sử dụng nhà chung cư;</w:t>
      </w:r>
      <w:r>
        <w:rPr>
          <w:b w:val="0"/>
          <w:i w:val="0"/>
        </w:rPr>
        <w:br/>
      </w:r>
      <w:r>
        <w:rPr>
          <w:b w:val="0"/>
          <w:i/>
        </w:rPr>
        <w:t>Theo đề nghị của Giám đốc Sở Xây dựng tại Tờ trình số 3043/TTr-SXD ngày 21 tháng 9 năm 2021.</w:t>
      </w:r>
      <w:r>
        <w:rPr>
          <w:b w:val="0"/>
          <w:i w:val="0"/>
        </w:rPr>
        <w:br/>
      </w:r>
      <w:r>
        <w:rPr>
          <w:b/>
          <w:i w:val="0"/>
        </w:rPr>
        <w:t>QUYẾT ĐỊNH:</w:t>
      </w:r>
      <w:r>
        <w:rPr>
          <w:b w:val="0"/>
          <w:i w:val="0"/>
        </w:rPr>
        <w:br/>
      </w:r>
      <w:r>
        <w:rPr>
          <w:b/>
          <w:i w:val="0"/>
        </w:rPr>
        <w:t>Điều 1.</w:t>
      </w:r>
      <w:r>
        <w:rPr>
          <w:b w:val="0"/>
          <w:i w:val="0"/>
        </w:rPr>
        <w:t xml:space="preserve"> Ban hành kèm theo Quyết định này quy định về quản lý, sử dụng nhà chung cư trên địa bàn tỉnh Bình Dương.</w:t>
      </w:r>
      <w:r>
        <w:rPr>
          <w:b w:val="0"/>
          <w:i w:val="0"/>
        </w:rPr>
        <w:br/>
      </w:r>
      <w:r>
        <w:rPr>
          <w:b/>
          <w:i w:val="0"/>
        </w:rPr>
        <w:t>Điều 2.</w:t>
      </w:r>
      <w:r>
        <w:rPr>
          <w:b w:val="0"/>
          <w:i w:val="0"/>
        </w:rPr>
        <w:t xml:space="preserve"> Chánh Văn phòng Ủy ban nhân dân tỉnh; Thủ trưởng các Sở: ngành thuộc tỉnh; Chủ tịch Ủy ban nhân dân các huyện, thị xã, thành phố; Chủ tịch Ủy ban nhân dân các xã, phường, thị trấn; chủ đầu tư, Ban quản trị, đơn vị quản lý vận hành nhà chung cư và các tổ chức, cá nhân có liên quan có trách nhiệm thi hành Quyết định này.</w:t>
      </w:r>
      <w:r>
        <w:rPr>
          <w:b w:val="0"/>
          <w:i w:val="0"/>
        </w:rPr>
        <w:br/>
      </w:r>
      <w:r>
        <w:rPr>
          <w:b w:val="0"/>
          <w:i w:val="0"/>
        </w:rPr>
        <w:t>Quyết định này có hiệu lực kể từ ngày 10 tháng 10 năm 2021./.</w:t>
      </w:r>
      <w:r>
        <w:rPr>
          <w:b w:val="0"/>
          <w:i w:val="0"/>
        </w:rPr>
        <w:br/>
      </w:r>
      <w:r>
        <w:rPr>
          <w:b w:val="0"/>
          <w:i w:val="0"/>
        </w:rPr>
        <w:br/>
      </w:r>
      <w:r>
        <w:rPr>
          <w:b w:val="0"/>
          <w:i w:val="0"/>
        </w:rPr>
        <w:br/>
      </w:r>
      <w:r>
        <w:rPr>
          <w:b w:val="0"/>
          <w:i w:val="0"/>
        </w:rPr>
        <w:br/>
      </w:r>
      <w:r>
        <w:rPr>
          <w:b w:val="0"/>
          <w:i w:val="0"/>
        </w:rPr>
        <w:br/>
      </w:r>
      <w:r>
        <w:rPr>
          <w:b w:val="0"/>
          <w:i w:val="0"/>
        </w:rPr>
        <w:t xml:space="preserve"> </w:t>
      </w:r>
      <w:r>
        <w:rPr>
          <w:b/>
          <w:i/>
        </w:rPr>
        <w:t>Nơi nhận:</w:t>
      </w:r>
      <w:r>
        <w:rPr>
          <w:b w:val="0"/>
          <w:i w:val="0"/>
        </w:rPr>
        <w:br/>
      </w:r>
      <w:r>
        <w:rPr>
          <w:b w:val="0"/>
          <w:i w:val="0"/>
        </w:rPr>
        <w:t>- Văn phòng Chính phủ;</w:t>
      </w:r>
      <w:r>
        <w:rPr>
          <w:b w:val="0"/>
          <w:i w:val="0"/>
        </w:rPr>
        <w:br/>
      </w:r>
      <w:r>
        <w:rPr>
          <w:b w:val="0"/>
          <w:i w:val="0"/>
        </w:rPr>
        <w:t>- Bộ Xây dựng (b/c);</w:t>
      </w:r>
      <w:r>
        <w:rPr>
          <w:b w:val="0"/>
          <w:i w:val="0"/>
        </w:rPr>
        <w:br/>
      </w:r>
      <w:r>
        <w:rPr>
          <w:b w:val="0"/>
          <w:i w:val="0"/>
        </w:rPr>
        <w:t>- Bộ Tư pháp (Cục KTVB QPPL);</w:t>
      </w:r>
      <w:r>
        <w:rPr>
          <w:b w:val="0"/>
          <w:i w:val="0"/>
        </w:rPr>
        <w:br/>
      </w:r>
      <w:r>
        <w:rPr>
          <w:b w:val="0"/>
          <w:i w:val="0"/>
        </w:rPr>
        <w:t>- TT. Tỉnh ủy; TT.HĐND tỉnh;</w:t>
      </w:r>
      <w:r>
        <w:rPr>
          <w:b w:val="0"/>
          <w:i w:val="0"/>
        </w:rPr>
        <w:br/>
      </w:r>
      <w:r>
        <w:rPr>
          <w:b w:val="0"/>
          <w:i w:val="0"/>
        </w:rPr>
        <w:t>- Đoàn Đại biểu Quốc hội tỉnh;</w:t>
      </w:r>
      <w:r>
        <w:rPr>
          <w:b w:val="0"/>
          <w:i w:val="0"/>
        </w:rPr>
        <w:br/>
      </w:r>
      <w:r>
        <w:rPr>
          <w:b w:val="0"/>
          <w:i w:val="0"/>
        </w:rPr>
        <w:t>- CT, các PCT UBND tỉnh;</w:t>
      </w:r>
      <w:r>
        <w:rPr>
          <w:b w:val="0"/>
          <w:i w:val="0"/>
        </w:rPr>
        <w:br/>
      </w:r>
      <w:r>
        <w:rPr>
          <w:b w:val="0"/>
          <w:i w:val="0"/>
        </w:rPr>
        <w:t>- UBMTTQVN tỉnh;</w:t>
      </w:r>
      <w:r>
        <w:rPr>
          <w:b w:val="0"/>
          <w:i w:val="0"/>
        </w:rPr>
        <w:br/>
      </w:r>
      <w:r>
        <w:rPr>
          <w:b w:val="0"/>
          <w:i w:val="0"/>
        </w:rPr>
        <w:t>- Sở Tư pháp (CSDLQG về PL);</w:t>
      </w:r>
      <w:r>
        <w:rPr>
          <w:b w:val="0"/>
          <w:i w:val="0"/>
        </w:rPr>
        <w:br/>
      </w:r>
      <w:r>
        <w:rPr>
          <w:b w:val="0"/>
          <w:i w:val="0"/>
        </w:rPr>
        <w:t>- Như Điều 2;</w:t>
      </w:r>
      <w:r>
        <w:rPr>
          <w:b w:val="0"/>
          <w:i w:val="0"/>
        </w:rPr>
        <w:br/>
      </w:r>
      <w:r>
        <w:rPr>
          <w:b w:val="0"/>
          <w:i w:val="0"/>
        </w:rPr>
        <w:t>- TT Công báo; Website tỉnh;</w:t>
      </w:r>
      <w:r>
        <w:rPr>
          <w:b w:val="0"/>
          <w:i w:val="0"/>
        </w:rPr>
        <w:br/>
      </w:r>
      <w:r>
        <w:rPr>
          <w:b w:val="0"/>
          <w:i w:val="0"/>
        </w:rPr>
        <w:t>- LĐVP,Km,TH;</w:t>
      </w:r>
      <w:r>
        <w:rPr>
          <w:b w:val="0"/>
          <w:i w:val="0"/>
        </w:rPr>
        <w:br/>
      </w:r>
      <w:r>
        <w:rPr>
          <w:b w:val="0"/>
          <w:i w:val="0"/>
        </w:rPr>
        <w:t>- Lưu: VT</w:t>
      </w:r>
      <w:r>
        <w:rPr>
          <w:b w:val="0"/>
          <w:i w:val="0"/>
        </w:rPr>
        <w:br/>
      </w:r>
      <w:r>
        <w:rPr>
          <w:b w:val="0"/>
          <w:i w:val="0"/>
        </w:rPr>
        <w:br/>
      </w:r>
      <w:r>
        <w:rPr>
          <w:b/>
          <w:i w:val="0"/>
        </w:rPr>
        <w:t>TM. UỶ BAN NHÂN DÂN</w:t>
      </w:r>
      <w:r>
        <w:rPr>
          <w:b w:val="0"/>
          <w:i w:val="0"/>
        </w:rPr>
        <w:br/>
      </w:r>
      <w:r>
        <w:rPr>
          <w:b/>
          <w:i w:val="0"/>
        </w:rPr>
        <w:t>KT. CHỦ TỊCH</w:t>
      </w:r>
      <w:r>
        <w:br/>
      </w:r>
      <w:r>
        <w:rPr>
          <w:b/>
          <w:i w:val="0"/>
        </w:rPr>
        <w:br/>
        <w:t xml:space="preserve">          PHÓ CHỦ TỊCH</w:t>
      </w:r>
      <w:r>
        <w:br/>
      </w:r>
      <w:r>
        <w:rPr>
          <w:b w:val="0"/>
          <w:i w:val="0"/>
        </w:rPr>
        <w:br/>
      </w:r>
      <w:r>
        <w:rPr>
          <w:b/>
          <w:i/>
        </w:rPr>
        <w:t>(Đã ký)</w:t>
      </w:r>
      <w:r>
        <w:rPr>
          <w:b w:val="0"/>
          <w:i w:val="0"/>
        </w:rPr>
        <w:br/>
      </w:r>
      <w:r>
        <w:rPr>
          <w:b w:val="0"/>
          <w:i w:val="0"/>
        </w:rPr>
        <w:br/>
      </w:r>
      <w:r>
        <w:rPr>
          <w:b w:val="0"/>
          <w:i w:val="0"/>
        </w:rPr>
        <w:br/>
      </w:r>
      <w:r>
        <w:rPr>
          <w:b/>
          <w:i w:val="0"/>
        </w:rPr>
        <w:t>Nguyễn Lộc Hà</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br/>
              <w:t xml:space="preserve">          TỈNH BÌNH DƯƠNG </w:t>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rPr>
                <w:b w:val="0"/>
                <w:i w:val="0"/>
              </w:rPr>
              <w:br/>
            </w:r>
            <w:r>
              <w:rPr>
                <w:b w:val="0"/>
                <w:i w:val="0"/>
              </w:rPr>
              <w:t>- Văn phòng Chính phủ;</w:t>
            </w:r>
            <w:r>
              <w:rPr>
                <w:b w:val="0"/>
                <w:i w:val="0"/>
              </w:rPr>
              <w:br/>
            </w:r>
            <w:r>
              <w:rPr>
                <w:b w:val="0"/>
                <w:i w:val="0"/>
              </w:rPr>
              <w:t>- Bộ Xây dựng (b/c);</w:t>
            </w:r>
            <w:r>
              <w:rPr>
                <w:b w:val="0"/>
                <w:i w:val="0"/>
              </w:rPr>
              <w:br/>
            </w:r>
            <w:r>
              <w:rPr>
                <w:b w:val="0"/>
                <w:i w:val="0"/>
              </w:rPr>
              <w:t>- Bộ Tư pháp (Cục KTVB QPPL);</w:t>
            </w:r>
            <w:r>
              <w:rPr>
                <w:b w:val="0"/>
                <w:i w:val="0"/>
              </w:rPr>
              <w:br/>
            </w:r>
            <w:r>
              <w:rPr>
                <w:b w:val="0"/>
                <w:i w:val="0"/>
              </w:rPr>
              <w:t>- TT. Tỉnh ủy; TT.HĐND tỉnh;</w:t>
            </w:r>
            <w:r>
              <w:rPr>
                <w:b w:val="0"/>
                <w:i w:val="0"/>
              </w:rPr>
              <w:br/>
            </w:r>
            <w:r>
              <w:rPr>
                <w:b w:val="0"/>
                <w:i w:val="0"/>
              </w:rPr>
              <w:t>- Đoàn Đại biểu Quốc hội tỉnh;</w:t>
            </w:r>
            <w:r>
              <w:rPr>
                <w:b w:val="0"/>
                <w:i w:val="0"/>
              </w:rPr>
              <w:br/>
            </w:r>
            <w:r>
              <w:rPr>
                <w:b w:val="0"/>
                <w:i w:val="0"/>
              </w:rPr>
              <w:t>- CT, các PCT UBND tỉnh;</w:t>
            </w:r>
            <w:r>
              <w:rPr>
                <w:b w:val="0"/>
                <w:i w:val="0"/>
              </w:rPr>
              <w:br/>
            </w:r>
            <w:r>
              <w:rPr>
                <w:b w:val="0"/>
                <w:i w:val="0"/>
              </w:rPr>
              <w:t>- UBMTTQVN tỉnh;</w:t>
            </w:r>
            <w:r>
              <w:rPr>
                <w:b w:val="0"/>
                <w:i w:val="0"/>
              </w:rPr>
              <w:br/>
            </w:r>
            <w:r>
              <w:rPr>
                <w:b w:val="0"/>
                <w:i w:val="0"/>
              </w:rPr>
              <w:t>- Sở Tư pháp (CSDLQG về PL);</w:t>
            </w:r>
            <w:r>
              <w:rPr>
                <w:b w:val="0"/>
                <w:i w:val="0"/>
              </w:rPr>
              <w:br/>
            </w:r>
            <w:r>
              <w:rPr>
                <w:b w:val="0"/>
                <w:i w:val="0"/>
              </w:rPr>
              <w:t>- Như Điều 2;</w:t>
            </w:r>
            <w:r>
              <w:rPr>
                <w:b w:val="0"/>
                <w:i w:val="0"/>
              </w:rPr>
              <w:br/>
            </w:r>
            <w:r>
              <w:rPr>
                <w:b w:val="0"/>
                <w:i w:val="0"/>
              </w:rPr>
              <w:t>- TT Công báo; Website tỉnh;</w:t>
            </w:r>
            <w:r>
              <w:rPr>
                <w:b w:val="0"/>
                <w:i w:val="0"/>
              </w:rPr>
              <w:br/>
            </w:r>
            <w:r>
              <w:rPr>
                <w:b w:val="0"/>
                <w:i w:val="0"/>
              </w:rPr>
              <w:t>- LĐVP,Km,TH;</w:t>
            </w:r>
            <w:r>
              <w:rPr>
                <w:b w:val="0"/>
                <w:i w:val="0"/>
              </w:rPr>
              <w:br/>
            </w:r>
            <w:r>
              <w:rPr>
                <w:b w:val="0"/>
                <w:i w:val="0"/>
              </w:rPr>
              <w:t>- Lưu: VT</w:t>
            </w:r>
          </w:p>
        </w:tc>
        <w:tc>
          <w:tcPr>
            <w:tcW w:type="dxa" w:w="4320"/>
          </w:tcPr>
          <w:p>
            <w:r>
              <w:rPr>
                <w:b w:val="0"/>
                <w:i w:val="0"/>
              </w:rPr>
              <w:br/>
            </w:r>
            <w:r>
              <w:rPr>
                <w:b/>
                <w:i w:val="0"/>
              </w:rPr>
              <w:t>TM. UỶ BAN NHÂN DÂN</w:t>
            </w:r>
            <w:r>
              <w:rPr>
                <w:b w:val="0"/>
                <w:i w:val="0"/>
              </w:rPr>
              <w:br/>
            </w:r>
            <w:r>
              <w:rPr>
                <w:b/>
                <w:i w:val="0"/>
              </w:rPr>
              <w:t>KT. CHỦ TỊCH</w:t>
            </w:r>
            <w:r>
              <w:br/>
            </w:r>
            <w:r>
              <w:rPr>
                <w:b/>
                <w:i w:val="0"/>
              </w:rPr>
              <w:br/>
              <w:t xml:space="preserve">          PHÓ CHỦ TỊCH</w:t>
            </w:r>
            <w:r>
              <w:br/>
            </w:r>
            <w:r>
              <w:rPr>
                <w:b w:val="0"/>
                <w:i w:val="0"/>
              </w:rPr>
              <w:br/>
            </w:r>
            <w:r>
              <w:rPr>
                <w:b/>
                <w:i/>
              </w:rPr>
              <w:t>(Đã ký)</w:t>
            </w:r>
            <w:r>
              <w:rPr>
                <w:b w:val="0"/>
                <w:i w:val="0"/>
              </w:rPr>
              <w:br/>
            </w:r>
            <w:r>
              <w:rPr>
                <w:b w:val="0"/>
                <w:i w:val="0"/>
              </w:rPr>
              <w:br/>
            </w:r>
            <w:r>
              <w:rPr>
                <w:b w:val="0"/>
                <w:i w:val="0"/>
              </w:rPr>
              <w:br/>
            </w:r>
            <w:r>
              <w:rPr>
                <w:b/>
                <w:i w:val="0"/>
              </w:rPr>
              <w:t>Nguyễn Lộc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