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16/2025/QĐ-UBND Quy định các trường hợp, biện pháp, mức hỗ trợ di dời đối với từng loại  vật nuôi khi Nhà nước thu hồi đất để hỗ trợ cho chủ sở hữu vật nuôi  khi phải di dờitrên địa bàn tỉnh Bắc Kạn</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BẮC KẠN</w:t>
      </w:r>
      <w:r>
        <w:br/>
      </w:r>
      <w: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t>Số: 16/2025/QĐ-UBND</w:t>
      </w:r>
      <w:r>
        <w:rPr>
          <w:b w:val="0"/>
          <w:i w:val="0"/>
        </w:rPr>
        <w:br/>
      </w:r>
      <w:r>
        <w:rPr>
          <w:b w:val="0"/>
          <w:i/>
        </w:rPr>
        <w:t>Bắc Kạn, ngày 20 tháng 3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ỦY BAN NHÂN DÂN</w:t>
            </w:r>
            <w:r>
              <w:br/>
            </w:r>
            <w:r>
              <w:rPr>
                <w:b/>
                <w:i w:val="0"/>
              </w:rPr>
              <w:t>TỈNH BẮC KẠN</w:t>
            </w:r>
            <w:r>
              <w:br/>
            </w:r>
            <w:r>
              <w:br/>
            </w:r>
          </w:p>
        </w:tc>
        <w:tc>
          <w:tcPr>
            <w:tcW w:type="dxa" w:w="4320"/>
          </w:tcPr>
          <w:p>
            <w:r>
              <w:rPr>
                <w:b/>
                <w:i w:val="0"/>
              </w:rPr>
              <w:t>CỘNG HÒA XÃ HỘI CHỦ NGHĨA VIỆT NAM</w:t>
            </w:r>
            <w:r>
              <w:br/>
            </w:r>
            <w:r>
              <w:rPr>
                <w:b/>
                <w:i w:val="0"/>
              </w:rPr>
              <w:br/>
              <w:t xml:space="preserve">          Độc lập - Tự do - Hạnh phúc</w:t>
            </w:r>
          </w:p>
        </w:tc>
      </w:tr>
    </w:tbl>
    <w:p>
      <w:pPr>
        <w:jc w:val="center"/>
      </w:pPr>
      <w:r>
        <w:rPr>
          <w:b/>
          <w:i w:val="0"/>
        </w:rPr>
        <w:t>QUYẾT ĐỊNH</w:t>
      </w:r>
    </w:p>
    <w:p>
      <w:pPr>
        <w:jc w:val="center"/>
      </w:pPr>
      <w:r>
        <w:rPr>
          <w:b/>
          <w:i w:val="0"/>
        </w:rPr>
        <w:t xml:space="preserve">Quy định các trường hợp, biện pháp, mức hỗ trợ di dời đối với từng loại </w:t>
      </w:r>
    </w:p>
    <w:p>
      <w:pPr>
        <w:jc w:val="center"/>
      </w:pPr>
      <w:r>
        <w:rPr>
          <w:b/>
          <w:i w:val="0"/>
        </w:rPr>
        <w:t xml:space="preserve">vật nuôi khi Nhà nước thu hồi đất để hỗ trợ cho chủ sở hữu vật nuôi </w:t>
      </w:r>
    </w:p>
    <w:p>
      <w:pPr>
        <w:jc w:val="center"/>
      </w:pPr>
      <w:r>
        <w:rPr>
          <w:b/>
          <w:i w:val="0"/>
        </w:rPr>
        <w:t>khi phải di dời trên địa bàn tỉnh Bắc Kạn</w:t>
      </w:r>
    </w:p>
    <w:p>
      <w:pPr>
        <w:jc w:val="center"/>
      </w:pPr>
      <w:r>
        <w:rPr>
          <w:b/>
          <w:i w:val="0"/>
        </w:rPr>
        <w:t>ỦY BAN NHÂN DÂN TỈNH BẮC KẠN</w:t>
      </w:r>
    </w:p>
    <w:p>
      <w:pPr>
        <w:jc w:val="both"/>
      </w:pPr>
      <w:r>
        <w:rPr>
          <w:b w:val="0"/>
          <w:i/>
        </w:rPr>
        <w:t>Căn cứ Luật Tổ chức chính quyền địa phương ngày 19 tháng 02 năm 2025;</w:t>
      </w:r>
    </w:p>
    <w:p>
      <w:pPr>
        <w:jc w:val="both"/>
      </w:pPr>
      <w:r>
        <w:rPr>
          <w:b w:val="0"/>
          <w:i/>
        </w:rPr>
        <w:t>Căn cứ Luật Đất đai ngày 18 tháng 01 năm 2024;</w:t>
      </w:r>
    </w:p>
    <w:p>
      <w:pPr>
        <w:jc w:val="both"/>
      </w:pPr>
      <w:r>
        <w:rPr>
          <w:b w:val="0"/>
          <w:i/>
        </w:rPr>
        <w:t>Căn cứ Luật Chăn nuôi ngày 19 tháng 11 năm 2018;</w:t>
      </w:r>
    </w:p>
    <w:p>
      <w:pPr>
        <w:jc w:val="both"/>
      </w:pPr>
      <w:r>
        <w:rPr>
          <w:b w:val="0"/>
          <w:i/>
        </w:rPr>
        <w:t>Căn cứ Nghị định số 88/2024/NĐ-CP ngày 15 tháng 7 năm 2024 của Chính phủ quy định về bồi thường, hỗ trợ, tái định cư khi nhà nước thu hồi đất;</w:t>
      </w:r>
    </w:p>
    <w:p>
      <w:pPr>
        <w:jc w:val="both"/>
      </w:pPr>
      <w:r>
        <w:rPr>
          <w:b w:val="0"/>
          <w:i/>
        </w:rPr>
        <w:t>Theo đề nghị của Giám đốc Sở Nông nghiệp và Môi trường.</w:t>
      </w:r>
    </w:p>
    <w:p>
      <w:pPr>
        <w:jc w:val="center"/>
      </w:pPr>
      <w:r>
        <w:rPr>
          <w:b/>
          <w:i w:val="0"/>
        </w:rPr>
        <w:t>QUYẾT ĐỊNH:</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 xml:space="preserve"> Quyết định này quy định các trường hợp, biện pháp, mức hỗ trợ di dời đối với từng loại vật nuôi khi Nhà nước thu hồi đất để hỗ trợ cho chủ sở hữu vật nuôi khi phải di dời trên địa bàn tỉnh Bắc Kạn.</w:t>
      </w:r>
    </w:p>
    <w:p>
      <w:pPr>
        <w:jc w:val="both"/>
      </w:pPr>
      <w:r>
        <w:rPr>
          <w:b w:val="0"/>
          <w:i w:val="0"/>
        </w:rPr>
        <w:t>2. Đối tượng áp dụng:</w:t>
      </w:r>
    </w:p>
    <w:p>
      <w:pPr>
        <w:jc w:val="both"/>
      </w:pPr>
      <w:r>
        <w:rPr>
          <w:b w:val="0"/>
          <w:i w:val="0"/>
        </w:rPr>
        <w:t>a) Cơ quan thực hiện chức năng quản lý nhà nước về đất đai; tổ chức làm nhiệm vụ bồi thường, giải phóng mặt bằng;</w:t>
      </w:r>
    </w:p>
    <w:p>
      <w:pPr>
        <w:jc w:val="both"/>
      </w:pPr>
      <w:r>
        <w:rPr>
          <w:b w:val="0"/>
          <w:i w:val="0"/>
        </w:rPr>
        <w:t>b) Chủ sở hữu vật nuôi phải di dời vật nuôi khi Nhà nước thu hồi đất trên địa bàn tỉnh Bắc Kạn;</w:t>
      </w:r>
    </w:p>
    <w:p>
      <w:pPr>
        <w:jc w:val="both"/>
      </w:pPr>
      <w:r>
        <w:rPr>
          <w:b w:val="0"/>
          <w:i w:val="0"/>
        </w:rPr>
        <w:t>c) Các cơ quan, tổ chức, cá nhân có liên quan đến việc hỗ trợ di dời vật nuôi khi Nhà nước thu hồi đất trên địa bàn tỉnh Bắc Kạn.</w:t>
      </w:r>
    </w:p>
    <w:p>
      <w:pPr>
        <w:jc w:val="both"/>
      </w:pPr>
      <w:r>
        <w:rPr>
          <w:b/>
          <w:i w:val="0"/>
        </w:rPr>
        <w:t>Điều 2. Các trường hợp, biện pháp, mức hỗ trợ di dời đối với từng loại vật nuôi khi Nhà nước thu hồi đất</w:t>
      </w:r>
    </w:p>
    <w:p>
      <w:pPr>
        <w:jc w:val="both"/>
      </w:pPr>
      <w:r>
        <w:rPr>
          <w:b w:val="0"/>
          <w:i w:val="0"/>
        </w:rPr>
        <w:t>1. Các trường hợp, biện pháp hỗ trợ di dời:</w:t>
      </w:r>
    </w:p>
    <w:p>
      <w:pPr>
        <w:jc w:val="both"/>
      </w:pPr>
      <w:r>
        <w:rPr>
          <w:b w:val="0"/>
          <w:i w:val="0"/>
        </w:rPr>
        <w:t>a) Thực hiện hỗ trợ di dời vật nuôi của chủ sở hữu tài sản, được tạo lập trước thời điểm ban hành thông báo thu hồi đất của cơ quan nhà nước có thẩm quyền;</w:t>
      </w:r>
    </w:p>
    <w:p>
      <w:pPr>
        <w:jc w:val="both"/>
      </w:pPr>
      <w:r>
        <w:rPr>
          <w:b w:val="0"/>
          <w:i w:val="0"/>
        </w:rPr>
        <w:t>b) Vật nuôi để hỗ trợ di chuyển là gia súc, gia cầm (quy định tại khoản 5 Điều 2 Luật Chăn nuôi năm 2018) và động vật khác (quy định tại khoản 8 Điều 2 Luật Chăn nuôi năm 2018) đang được chăn nuôi trên diện tích đất thu hồi được di dời tới vị trí chăn nuôi mới theo quy định;</w:t>
      </w:r>
    </w:p>
    <w:p>
      <w:pPr>
        <w:jc w:val="both"/>
      </w:pPr>
      <w:r>
        <w:rPr>
          <w:b w:val="0"/>
          <w:i w:val="0"/>
        </w:rPr>
        <w:t>c) Vật nuôi là thủy sản để hỗ trợ di dời thuộc danh mục loài thủy sản được phép kinh doanh tại Việt Nam quy định tại Phụ lục IV ban hành kèm theo Nghị định số 37/2024/NĐ-CP ngày 04 tháng 4 năm 2024 của Chính phủ sửa đổi, bổ sung một số điều của Nghị định số 26/2019/NĐ-CP ngày 08 tháng 3 năm 2019 của Chính phủ quy định chi tiết một số điều và biện pháp thi hành Luật Thủy sản;</w:t>
      </w:r>
    </w:p>
    <w:p>
      <w:pPr>
        <w:jc w:val="both"/>
      </w:pPr>
      <w:r>
        <w:rPr>
          <w:b w:val="0"/>
          <w:i w:val="0"/>
        </w:rPr>
        <w:t>d) Biện pháp di dời vật nuôi để hỗ trợ: Phù hợp với thực tiễn và theo quy định tại Quy chuẩn kỹ thuật Quốc gia QCVN 01-100:2012/BNNPTNT ban hành theo Thông tư số 30/2012/TT-BNNPTNT ngày 03 tháng 7 năm 2012 của Bộ trưởng Bộ Nông nghiệp và Phát triển nông thôn.</w:t>
      </w:r>
    </w:p>
    <w:p>
      <w:pPr>
        <w:jc w:val="both"/>
      </w:pPr>
      <w:r>
        <w:rPr>
          <w:b w:val="0"/>
          <w:i w:val="0"/>
        </w:rPr>
        <w:t>2. Mức hỗ trợ di dời:</w:t>
      </w:r>
    </w:p>
    <w:p>
      <w:pPr>
        <w:jc w:val="both"/>
      </w:pPr>
      <w:r>
        <w:rPr>
          <w:b w:val="0"/>
          <w:i w:val="0"/>
        </w:rPr>
        <w:t>a) Mức hỗ trợ di dời đối vật nuôi là thủy sản: Chi tiết tại Phụ lục I kèm theo Quyết định này;</w:t>
      </w:r>
    </w:p>
    <w:p>
      <w:pPr>
        <w:jc w:val="both"/>
      </w:pPr>
      <w:r>
        <w:rPr>
          <w:b w:val="0"/>
          <w:i w:val="0"/>
        </w:rPr>
        <w:t>b) Mức hỗ trợ di dời đối với vật nuôi khác: Chi tiết tại Phụ lục II kèm theo Quyết định này.</w:t>
      </w:r>
    </w:p>
    <w:p>
      <w:pPr>
        <w:jc w:val="both"/>
      </w:pPr>
      <w:r>
        <w:rPr>
          <w:b/>
          <w:i w:val="0"/>
        </w:rPr>
        <w:t>Điều 3. Tổ chức thực hiện</w:t>
      </w:r>
    </w:p>
    <w:p>
      <w:pPr>
        <w:jc w:val="both"/>
      </w:pPr>
      <w:r>
        <w:rPr>
          <w:b w:val="0"/>
          <w:i w:val="0"/>
        </w:rPr>
        <w:t>1. Quyết định này có hiệu lực thi hành kể từ ngày 30 tháng 03 năm 2025.</w:t>
      </w:r>
    </w:p>
    <w:p>
      <w:pPr>
        <w:jc w:val="both"/>
      </w:pPr>
      <w:r>
        <w:rPr>
          <w:b w:val="0"/>
          <w:i w:val="0"/>
        </w:rPr>
        <w:t>2. Chánh Văn phòng Ủy ban nhân dân tỉnh, Giám đốc các Sở: Nông nghiệp và Môi trường, Tài chính; Giám đốc,Thủ trưởng các sở, ban, ngành của tỉnh; Chủ tịch Ủy ban nhân dân các huyện,thành phố; Chủ tịch Ủy ban nhân dân các xã, phường, thị trấn; tổ chức, cá nhân có liên quan chịu trách nhiệm thi hành Quyết định này./.</w:t>
      </w:r>
    </w:p>
    <w:p>
      <w:pPr>
        <w:jc w:val="both"/>
      </w:pPr>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Đăng Bình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Đăng Bình</w:t>
      </w:r>
      <w:r>
        <w:rPr>
          <w:b/>
          <w:i w:val="0"/>
        </w:rPr>
        <w:br/>
      </w:r>
      <w:r>
        <w:rPr>
          <w:b/>
          <w:i w:val="0"/>
        </w:rPr>
        <w:br/>
      </w:r>
      <w:r>
        <w:rPr>
          <w:b w:val="0"/>
          <w:i w:val="0"/>
        </w:rPr>
        <w:br/>
      </w:r>
    </w:p>
    <w:p>
      <w:pPr>
        <w:jc w:val="both"/>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Đăng Bình</w:t>
      </w:r>
      <w:r>
        <w:rPr>
          <w:b/>
          <w:i w:val="0"/>
        </w:rPr>
        <w:br/>
      </w:r>
      <w:r>
        <w:rPr>
          <w:b w:val="0"/>
          <w:i w:val="0"/>
        </w:rPr>
        <w:br/>
      </w:r>
    </w:p>
    <w:p>
      <w:pPr>
        <w:jc w:val="center"/>
      </w:pPr>
      <w:r>
        <w:rPr>
          <w:b w:val="0"/>
          <w:i w:val="0"/>
        </w:rPr>
        <w:br/>
      </w:r>
      <w:r>
        <w:rPr>
          <w:b/>
          <w:i w:val="0"/>
        </w:rPr>
        <w:t xml:space="preserve">TM. ỦY BAN NHÂN DÂN </w:t>
      </w:r>
      <w:r>
        <w:rPr>
          <w:b w:val="0"/>
          <w:i w:val="0"/>
        </w:rPr>
        <w:t xml:space="preserve"> </w:t>
      </w:r>
      <w:r>
        <w:rPr>
          <w:b w:val="0"/>
          <w:i w:val="0"/>
        </w:rPr>
        <w:br/>
      </w:r>
      <w:r>
        <w:br/>
      </w:r>
      <w:r>
        <w:rPr>
          <w:b/>
          <w:i w:val="0"/>
        </w:rPr>
        <w:t>CHỦ TỊCH</w:t>
      </w:r>
      <w:r>
        <w:rPr>
          <w:b w:val="0"/>
          <w:i w:val="0"/>
        </w:rPr>
        <w:br/>
      </w:r>
    </w:p>
    <w:p>
      <w:pPr>
        <w:jc w:val="center"/>
      </w:pPr>
      <w:r>
        <w:rPr>
          <w:b w:val="0"/>
          <w:i w:val="0"/>
        </w:rPr>
        <w:br/>
      </w:r>
      <w:r>
        <w:rPr>
          <w:b/>
          <w:i w:val="0"/>
        </w:rPr>
        <w:t>(Đã ký)</w:t>
      </w:r>
      <w:r>
        <w:rPr>
          <w:b w:val="0"/>
          <w:i w:val="0"/>
        </w:rPr>
        <w:br/>
      </w:r>
    </w:p>
    <w:p>
      <w:pPr>
        <w:jc w:val="center"/>
      </w:pPr>
      <w:r>
        <w:rPr>
          <w:b w:val="0"/>
          <w:i w:val="0"/>
        </w:rPr>
        <w:br/>
      </w:r>
      <w:r>
        <w:rPr>
          <w:b/>
          <w:i w:val="0"/>
        </w:rPr>
        <w:t>Nguyễn Đăng Bình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