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20/2017/QĐ-UBND Quy định việc lập dự toán, quản lý, sử dụng và quyết toán kinh phí bảo đảm cho công tác quản lý nhà nước về thi hành pháp luật xử lý vi phạm hành chính trên địa bàn tỉnh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20/2017/QĐ-UBND</w:t>
      </w:r>
      <w:r>
        <w:rPr>
          <w:b w:val="0"/>
          <w:i w:val="0"/>
        </w:rPr>
        <w:br/>
      </w:r>
      <w:r>
        <w:rPr>
          <w:b w:val="0"/>
          <w:i w:val="0"/>
        </w:rPr>
        <w:br/>
      </w:r>
      <w:r>
        <w:rPr>
          <w:b w:val="0"/>
          <w:i/>
        </w:rPr>
        <w:br/>
      </w:r>
      <w:r>
        <w:rPr>
          <w:b w:val="0"/>
          <w:i/>
        </w:rPr>
        <w:t>Thái Nguyên, ngày 21 tháng 7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20/2017/QĐ-UBND</w:t>
      </w:r>
      <w:r>
        <w:rPr>
          <w:b w:val="0"/>
          <w:i w:val="0"/>
        </w:rPr>
        <w:br/>
      </w:r>
      <w:r>
        <w:rPr>
          <w:b w:val="0"/>
          <w:i w:val="0"/>
        </w:rPr>
        <w:br/>
      </w:r>
      <w:r>
        <w:rPr>
          <w:b w:val="0"/>
          <w:i/>
        </w:rPr>
        <w:br/>
      </w:r>
      <w:r>
        <w:rPr>
          <w:b w:val="0"/>
          <w:i/>
        </w:rPr>
        <w:t>Thái Nguyên, ngày 21 tháng 7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20/2017/QĐ-UBND</w:t>
      </w:r>
      <w:r>
        <w:rPr>
          <w:b w:val="0"/>
          <w:i w:val="0"/>
        </w:rPr>
        <w:br/>
      </w:r>
      <w:r>
        <w:rPr>
          <w:b w:val="0"/>
          <w:i w:val="0"/>
        </w:rPr>
        <w:br/>
      </w:r>
      <w:r>
        <w:rPr>
          <w:b w:val="0"/>
          <w:i/>
        </w:rPr>
        <w:br/>
      </w:r>
      <w:r>
        <w:rPr>
          <w:b w:val="0"/>
          <w:i/>
        </w:rPr>
        <w:t>Thái Nguyên, ngày 21 tháng 7 năm 2017</w:t>
      </w:r>
      <w:r>
        <w:rPr>
          <w:b w:val="0"/>
          <w:i/>
        </w:rPr>
        <w:br/>
      </w:r>
      <w:r>
        <w:rPr>
          <w:b w:val="0"/>
          <w:i w:val="0"/>
        </w:rPr>
        <w:br/>
      </w:r>
    </w:p>
    <w:p>
      <w:pPr>
        <w:jc w:val="center"/>
      </w:pPr>
      <w:r>
        <w:rPr>
          <w:b w:val="0"/>
          <w:i w:val="0"/>
        </w:rPr>
        <w:br/>
      </w:r>
      <w:r>
        <w:rPr>
          <w:b w:val="0"/>
          <w:i w:val="0"/>
        </w:rPr>
        <w:t>Số: 20/2017/QĐ-UBND</w:t>
      </w:r>
      <w:r>
        <w:rPr>
          <w:b w:val="0"/>
          <w:i w:val="0"/>
        </w:rPr>
        <w:br/>
      </w:r>
    </w:p>
    <w:p>
      <w:pPr>
        <w:jc w:val="center"/>
      </w:pPr>
      <w:r>
        <w:rPr>
          <w:b w:val="0"/>
          <w:i w:val="0"/>
        </w:rPr>
        <w:br/>
      </w:r>
      <w:r>
        <w:rPr>
          <w:b w:val="0"/>
          <w:i w:val="0"/>
        </w:rPr>
        <w:t>Thái Nguyên, ngày 21 tháng 7 năm 2017</w:t>
      </w:r>
      <w:r>
        <w:rPr>
          <w:b w:val="0"/>
          <w:i w:val="0"/>
        </w:rPr>
        <w:br/>
      </w:r>
    </w:p>
    <w:p>
      <w:r>
        <w:rPr>
          <w:b/>
          <w:i w:val="0"/>
        </w:rPr>
        <w:t>QUYẾT ĐỊNH</w:t>
      </w:r>
    </w:p>
    <w:p>
      <w:r>
        <w:rPr>
          <w:b w:val="0"/>
          <w:i w:val="0"/>
        </w:rPr>
        <w:t>Quy định việc lập dự toán, quản lý, sử dụng và quyết toán kinh phí</w:t>
      </w:r>
    </w:p>
    <w:p>
      <w:r>
        <w:rPr>
          <w:b w:val="0"/>
          <w:i w:val="0"/>
        </w:rPr>
        <w:t>bảo đảm cho công tác quản lý nhà nước về thi hành pháp luật xử lý</w:t>
      </w:r>
    </w:p>
    <w:p>
      <w:r>
        <w:rPr>
          <w:b w:val="0"/>
          <w:i w:val="0"/>
        </w:rPr>
        <w:t>vi phạm hành chính trên địa bàn tỉnh Thái Nguyên</w:t>
      </w:r>
    </w:p>
    <w:p>
      <w:r>
        <w:rPr>
          <w:b w:val="0"/>
          <w:i w:val="0"/>
        </w:rPr>
        <w:t>­­­­­­­­­­­­­­­­­­­­­­__________</w:t>
      </w:r>
    </w:p>
    <w:p>
      <w:r>
        <w:rPr>
          <w:b/>
          <w:i w:val="0"/>
        </w:rPr>
        <w:t>ỦY BAN NHÂN DÂN TỈNH THÁI NGUYÊN</w:t>
      </w:r>
    </w:p>
    <w:p>
      <w:r>
        <w:rPr>
          <w:b w:val="0"/>
          <w:i/>
        </w:rPr>
        <w:t>Căn cứ Luật Tổ chức chính quyền địa phương năm 2015;</w:t>
      </w:r>
    </w:p>
    <w:p>
      <w:r>
        <w:rPr>
          <w:b w:val="0"/>
          <w:i/>
        </w:rPr>
        <w:t>Căn cứ Luật Xử lý vi phạm hành chính năm 2012;</w:t>
      </w:r>
    </w:p>
    <w:p>
      <w:r>
        <w:rPr>
          <w:b w:val="0"/>
          <w:i/>
        </w:rPr>
        <w:t>Căn cứ Luật Ngân sách nhà nước năm 2015;</w:t>
      </w:r>
    </w:p>
    <w:p>
      <w:r>
        <w:rPr>
          <w:b w:val="0"/>
          <w:i/>
        </w:rPr>
        <w:t xml:space="preserve">Căn cứ Nghị định số 81/2013/NĐ-CP ngày 19 tháng 7 năm 2013 của </w:t>
      </w:r>
      <w:r>
        <w:rPr>
          <w:b w:val="0"/>
          <w:i/>
        </w:rPr>
        <w:t>Chính phủ quy định chi tiết một số điều và biện pháp thi hành Luật Xử lý vi phạm hành chính;</w:t>
      </w:r>
    </w:p>
    <w:p>
      <w:r>
        <w:rPr>
          <w:b w:val="0"/>
          <w:i/>
        </w:rPr>
        <w:t>Căn cứ Thông tư số 19/2017/TT-BTC ngày 28 tháng 02 năm 2017 của Bộ Tài chính quy định việc lập dự toán, quản lý, sử dụng và quyết toán kinh phí ngân sách nhà nước cho công tác quản lý nhà nước về thi hành pháp luật xử lý vi phạm hành chính;</w:t>
      </w:r>
    </w:p>
    <w:p>
      <w:r>
        <w:rPr>
          <w:b w:val="0"/>
          <w:i/>
        </w:rPr>
        <w:t>Căn cứ Nghị quyết số 08/2017/NQ-HĐND ngày 21 tháng 7 năm 2017 của HĐND tỉnh Khóa XIII, Kỳ họp thứ 5</w:t>
      </w:r>
      <w:r>
        <w:rPr>
          <w:b w:val="0"/>
          <w:i/>
        </w:rPr>
        <w:t xml:space="preserve"> Quy định mức trích từ các khoản thu hồi phát hiện qua công tác thanh tra đã thực nộp vào ngân sách nhà nước; mức phân bổ kinh phí đảm bảo cho công tác xây dựng văn bản quy phạm pháp luật; nội dung, mức chi cho công tác quản lý nhà nước về thi hành pháp luật xử lý vi phạm hành chính; bổ sung mức thu lệ phí đăng ký cư trú trên địa bàn tỉnh Thái Nguyên</w:t>
      </w:r>
      <w:r>
        <w:rPr>
          <w:b w:val="0"/>
          <w:i/>
        </w:rPr>
        <w:t>;</w:t>
      </w:r>
    </w:p>
    <w:p>
      <w:r>
        <w:rPr>
          <w:b w:val="0"/>
          <w:i/>
        </w:rPr>
        <w:t>Xét đề nghị của Sở Tài chính tại Tờ trình số 2547/TTr-STC ngày 21 tháng 7 năm 2017</w:t>
      </w:r>
      <w:r>
        <w:rPr>
          <w:b w:val="0"/>
          <w:i/>
        </w:rPr>
        <w:t>, Báo cáo số 203/BC-STP ngày 21 tháng 7 năm 2017 của Sở Tư pháp.</w:t>
      </w:r>
    </w:p>
    <w:p>
      <w:r>
        <w:rPr>
          <w:b/>
          <w:i w:val="0"/>
        </w:rPr>
        <w:t>QUYẾT ĐỊNH:</w:t>
      </w:r>
    </w:p>
    <w:p>
      <w:r>
        <w:rPr>
          <w:b/>
          <w:i w:val="0"/>
        </w:rPr>
        <w:t>Điều 1.</w:t>
      </w:r>
      <w:r>
        <w:rPr>
          <w:b w:val="0"/>
          <w:i w:val="0"/>
        </w:rPr>
        <w:t xml:space="preserve"> Quy định việc lập dự toán, quản lý, sử dụng và quyết toán kinh phí bảo đảm cho công tác quản lý nhà nước về thi hành pháp luật xử lý vi phạm hành chính trên địa bàn tỉnh Thái Nguyên, cụ thể như sau:</w:t>
      </w:r>
    </w:p>
    <w:p>
      <w:r>
        <w:rPr>
          <w:b w:val="0"/>
          <w:i w:val="0"/>
        </w:rPr>
        <w:t>1. Phạm vi điều chỉnh và đối tượng áp dụng</w:t>
      </w:r>
    </w:p>
    <w:p>
      <w:r>
        <w:rPr>
          <w:b w:val="0"/>
          <w:i w:val="0"/>
        </w:rPr>
        <w:t>a) Quyết định này quy định việc lập dự toán, quản lý, sử dụng và quyết toán kinh phí ngân sách nhà nước cho công tác quản lý nhà nước về thi hành pháp luật xử lý vi phạm hành chính.</w:t>
      </w:r>
    </w:p>
    <w:p>
      <w:r>
        <w:rPr>
          <w:b w:val="0"/>
          <w:i w:val="0"/>
        </w:rPr>
        <w:t>b) Quy định này áp dụng đối với các cơ quan nhà nước, tổ chức, cá nhân có liên quan đến việc lập dự toán, quản lý, sử dụng và quyết toán kinh phí ngân sách nhà nước cho công tác quản lý nhà nước về thi hành pháp luật xử lý vi phạm hành chính.</w:t>
      </w:r>
    </w:p>
    <w:p>
      <w:r>
        <w:rPr>
          <w:b w:val="0"/>
          <w:i w:val="0"/>
        </w:rPr>
        <w:t>2. Nguyên tắc lập dự toán, quản lý, sử dụng và quyết toán kinh phí</w:t>
      </w:r>
    </w:p>
    <w:p>
      <w:r>
        <w:rPr>
          <w:b w:val="0"/>
          <w:i w:val="0"/>
        </w:rPr>
        <w:t>a) Nhiệm vụ công tác quản lý nhà nước về thi hành pháp luật xử lý vi phạm hành chính thuộc ngân sách cấp nào do ngân sách cấp đó đảm bảo và bố trí trong dự toán ngân sách hàng năm của cơ quan, đơn vị theo quy định của Luật Ngân sách nhà nước và các văn bản pháp luật khác có liên quan.</w:t>
      </w:r>
    </w:p>
    <w:p>
      <w:r>
        <w:rPr>
          <w:b w:val="0"/>
          <w:i w:val="0"/>
        </w:rPr>
        <w:t>b) Kinh phí ngân sách nhà nước thực hiện công tác quản lý nhà nước về thi hành pháp luật xử lý vi phạm hành chính phải được lập, quản lý, sử dụng và quyết toán đúng mục đích, đúng chế độ và theo các quy định tại Quyết định này.</w:t>
      </w:r>
    </w:p>
    <w:p>
      <w:r>
        <w:rPr>
          <w:b w:val="0"/>
          <w:i w:val="0"/>
        </w:rPr>
        <w:t>c) Kinh phí từ nguồn tài trợ của các cá nhân, tổ chức, doanh nghiệp trong và ngoài nước cho các cơ quan, đơn vị để thực hiện việc theo dõi thi hành pháp luật xử lý vi phạm hành chính thực hiện đúng theo sự thỏa thuận và phù hợp với pháp luật Việt Nam. Trường hợp không có thỏa thuận thì thực hiện theo quy định tại Quyết định này.</w:t>
      </w:r>
    </w:p>
    <w:p>
      <w:r>
        <w:rPr>
          <w:b w:val="0"/>
          <w:i w:val="0"/>
        </w:rPr>
        <w:t>3. Nội dung chi, mức chi cho công tác công tác quản lý nhà nước về thi hành pháp luật xử lý vi phạm hành chính</w:t>
      </w:r>
    </w:p>
    <w:p>
      <w:pPr>
        <w:jc w:val="center"/>
      </w:pPr>
      <w:r>
        <w:rPr>
          <w:b w:val="0"/>
          <w:i/>
        </w:rPr>
        <w:t xml:space="preserve"> (Chi tiết tại phụ lục kèm theo Quyết định này )</w:t>
      </w:r>
    </w:p>
    <w:p>
      <w:r>
        <w:rPr>
          <w:b w:val="0"/>
          <w:i w:val="0"/>
        </w:rPr>
        <w:t>4. Lập dự toán, quản lý, sử dụng và quyết toán kinh phí bảo đảm cho công tác quản lý nhà nước về thi hành pháp luật xử lý vi phạm hành chính</w:t>
      </w:r>
    </w:p>
    <w:p>
      <w:r>
        <w:rPr>
          <w:b w:val="0"/>
          <w:i w:val="0"/>
        </w:rPr>
        <w:t xml:space="preserve">a) Việc lập dự toán, quản lý kinh phí bảo đảm cho công tác quản lý nhà nước về thi hành pháp luật xử lý vi phạm hành chính được thực hiện như sau: </w:t>
      </w:r>
    </w:p>
    <w:p>
      <w:r>
        <w:rPr>
          <w:b w:val="0"/>
          <w:i w:val="0"/>
        </w:rPr>
        <w:t xml:space="preserve">- Hàng năm, căn cứ chức năng, nhiệm vụ được giao; căn cứ các hoạt động, nội dung chi, mức chi quy định tại Quyết định này, các cơ quan, đơn vị lập dự toán chi tiết kinh phí bảo đảm cho công tác quản lý nhà nước về thi hành pháp luật xử lý vi phạm hành chính, tổng hợp chung vào dự toán ngân sách chi thường xuyên hàng năm gửi cơ quan có thẩm quyền theo quy định của Luật Ngân sách nhà nước và các văn bản hướng dẫn thi hành. </w:t>
      </w:r>
    </w:p>
    <w:p>
      <w:r>
        <w:rPr>
          <w:b w:val="0"/>
          <w:i w:val="0"/>
        </w:rPr>
        <w:t>- Đối với các tổ chức pháp chế không phải là đơn vị dự toán, hàng năm căn cứ vào các nội dung kinh phí bảo đảm cho công tác quản lý nhà nước về thi hành pháp luật xử lý vi phạm hành chính quy định tại Quy định này và kế hoạch theo dõi thi hành pháp luật xử lý vi phạm hành chính được duyệt, lập dự toán kinh phí bảo đảm cho công tác quản lý nhà nước về thi hành pháp luật xử lý vi phạm hành chính gửi bộ phận tài chính của cơ quan mình để tổng hợp chung vào dự toán kinh phí của cơ quan theo quy định.</w:t>
      </w:r>
    </w:p>
    <w:p>
      <w:r>
        <w:rPr>
          <w:b w:val="0"/>
          <w:i w:val="0"/>
        </w:rPr>
        <w:t xml:space="preserve"> - Việc phân bổ kinh phí bảo đảm cho công tác quản lý nhà nước về thi hành pháp luật xử lý vi phạm hành chính được thực hiện theo quy định của Luật Ngân sách nhà nước.</w:t>
      </w:r>
    </w:p>
    <w:p>
      <w:r>
        <w:rPr>
          <w:b w:val="0"/>
          <w:i w:val="0"/>
        </w:rPr>
        <w:t>b) Việc sử dụng và quyết toán kinh phí bảo đảm cho công tác quản lý nhà nước về thi hành pháp luật xử lý vi phạm hành chính được thực hiện theo quy định hiện hành của Luật Ngân sách nhà nước, Luật Kế toán, các văn bản hướng dẫn thi hành và các quy định cụ thể tại Quyết định này.</w:t>
      </w:r>
    </w:p>
    <w:p>
      <w:r>
        <w:rPr>
          <w:b/>
          <w:i w:val="0"/>
        </w:rPr>
        <w:t>Điều 2.</w:t>
      </w:r>
      <w:r>
        <w:rPr>
          <w:b w:val="0"/>
          <w:i w:val="0"/>
        </w:rPr>
        <w:t xml:space="preserve"> Quyết định này có hiệu lực từ ngày 01 tháng 8 năm 2017.</w:t>
      </w:r>
    </w:p>
    <w:p>
      <w:r>
        <w:rPr>
          <w:b w:val="0"/>
          <w:i w:val="0"/>
        </w:rPr>
        <w:t>Trong quá trình triển khai thực hiện, nếu có khó khăn, vướng mắc, yêu cầu các cơ quan, đơn vị, địa phương phản ánh kịp thời về Sở Tài chính để tổng hợp, báo cáo UBND tỉnh xem xét, giải quyết.</w:t>
      </w:r>
    </w:p>
    <w:p>
      <w:r>
        <w:rPr>
          <w:b/>
          <w:i w:val="0"/>
        </w:rPr>
        <w:t>Điều 3.</w:t>
      </w:r>
      <w:r>
        <w:rPr>
          <w:b w:val="0"/>
          <w:i w:val="0"/>
        </w:rPr>
        <w:t xml:space="preserve"> Chánh Văn phòng UBND tỉnh; Giám đốc Sở Tài chính; Thủ trưởng các sở, ban, ngành thuộc tỉnh; Giám đốc Kho bạc Nhà nước tỉnh; Chủ tịch UBND các huyện, thành phố, thị xã và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Vũ Hồng Bắc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Vũ Hồng Bắc</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Vũ Hồng Bắc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Vũ Hồng Bắc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