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21/2000/PL-UBTVQH10 Sửa đổi, bổ sung một số điều của Pháp lệnh Cán bộ, công chức</w:t>
      </w:r>
    </w:p>
    <w:p>
      <w:r>
        <w:rPr>
          <w:b w:val="0"/>
          <w:i w:val="0"/>
        </w:rPr>
        <w:br/>
      </w:r>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21/2000/PL-UBTVQH10</w:t>
        <w:br/>
        <w:t xml:space="preserve">     </w:t>
      </w:r>
      <w:r>
        <w:rPr>
          <w:b w:val="0"/>
          <w:i w:val="0"/>
        </w:rPr>
        <w:br/>
      </w:r>
      <w:r>
        <w:rPr>
          <w:b w:val="0"/>
          <w:i/>
        </w:rPr>
        <w:br/>
        <w:t xml:space="preserve">      Hà Nội, ngày 28 tháng 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21/2000/PL-UBTVQH10</w:t>
        <w:br/>
        <w:t xml:space="preserve">     </w:t>
      </w:r>
      <w:r>
        <w:rPr>
          <w:b w:val="0"/>
          <w:i w:val="0"/>
        </w:rPr>
        <w:br/>
      </w:r>
      <w:r>
        <w:rPr>
          <w:b w:val="0"/>
          <w:i/>
        </w:rPr>
        <w:br/>
        <w:t xml:space="preserve">      Hà Nội, ngày 28 tháng 4 năm 2000</w:t>
        <w:br/>
        <w:t xml:space="preserve">     </w:t>
      </w:r>
      <w:r>
        <w:rPr>
          <w:b w:val="0"/>
          <w:i w:val="0"/>
        </w:rPr>
        <w:br/>
      </w:r>
      <w:r>
        <w:rPr>
          <w:b w:val="0"/>
          <w:i w:val="0"/>
        </w:rPr>
        <w:br/>
      </w:r>
    </w:p>
    <w:p>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21/2000/PL-UBTVQH10</w:t>
        <w:br/>
        <w:t xml:space="preserve">     </w:t>
      </w:r>
      <w:r>
        <w:rPr>
          <w:b w:val="0"/>
          <w:i w:val="0"/>
        </w:rPr>
        <w:br/>
      </w:r>
      <w:r>
        <w:rPr>
          <w:b w:val="0"/>
          <w:i/>
        </w:rPr>
        <w:br/>
        <w:t xml:space="preserve">      Hà Nội, ngày 28 tháng 4 năm 2000</w:t>
        <w:br/>
        <w:t xml:space="preserve">     </w:t>
      </w:r>
      <w:r>
        <w:rPr>
          <w:b w:val="0"/>
          <w:i w:val="0"/>
        </w:rPr>
        <w:br/>
      </w:r>
    </w:p>
    <w:p>
      <w:pPr>
        <w:jc w:val="center"/>
      </w:pPr>
      <w:r>
        <w:rPr>
          <w:b w:val="0"/>
          <w:i w:val="0"/>
        </w:rPr>
        <w:br/>
        <w:t xml:space="preserve">      Số: 21/2000/PL-UBTVQH10</w:t>
        <w:br/>
        <w:t xml:space="preserve">     </w:t>
      </w:r>
    </w:p>
    <w:p>
      <w:pPr>
        <w:jc w:val="center"/>
      </w:pPr>
      <w:r>
        <w:rPr>
          <w:b w:val="0"/>
          <w:i w:val="0"/>
        </w:rPr>
        <w:br/>
        <w:t xml:space="preserve">      Hà Nội, ngày 28 tháng 4 năm 2000</w:t>
        <w:br/>
        <w:t xml:space="preserve">     </w:t>
      </w:r>
    </w:p>
    <w:p>
      <w:r>
        <w:rPr>
          <w:b w:val="0"/>
          <w:i w:val="0"/>
        </w:rPr>
        <w:br/>
      </w:r>
      <w:r>
        <w:rPr>
          <w:b/>
          <w:i w:val="0"/>
        </w:rPr>
        <w:t>PHÁP LỆNH CÁN BỘ, CÔNG CHỨC</w:t>
      </w:r>
      <w:r>
        <w:rPr>
          <w:b w:val="0"/>
          <w:i w:val="0"/>
        </w:rPr>
        <w:br/>
      </w:r>
      <w:r>
        <w:rPr>
          <w:b/>
          <w:i w:val="0"/>
        </w:rPr>
        <w:t>Số 21/2000/PL-UBTVQH10 ngày 28/4/2000</w:t>
      </w:r>
      <w:r>
        <w:rPr>
          <w:b w:val="0"/>
          <w:i w:val="0"/>
        </w:rPr>
        <w:br/>
      </w:r>
      <w:r>
        <w:rPr>
          <w:b/>
          <w:i w:val="0"/>
        </w:rPr>
        <w:t>sửa đổi, bổ sung một số điều của Pháp lệnh Cán bộ, công chức</w:t>
      </w:r>
      <w:r>
        <w:rPr>
          <w:b w:val="0"/>
          <w:i w:val="0"/>
        </w:rPr>
        <w:br/>
      </w:r>
      <w:r>
        <w:rPr>
          <w:b w:val="0"/>
          <w:i w:val="0"/>
        </w:rPr>
        <w:t xml:space="preserve"> _______________________</w:t>
      </w:r>
      <w:r>
        <w:rPr>
          <w:b w:val="0"/>
          <w:i w:val="0"/>
        </w:rPr>
        <w:br/>
      </w:r>
      <w:r>
        <w:rPr>
          <w:b w:val="0"/>
          <w:i/>
        </w:rPr>
        <w:t>Căn cứ vào Hiến pháp nước Cộng hòa xã hội chủ nghĩa Việt Nam năm 1992;</w:t>
      </w:r>
      <w:r>
        <w:rPr>
          <w:b w:val="0"/>
          <w:i w:val="0"/>
        </w:rPr>
        <w:br/>
      </w:r>
      <w:r>
        <w:rPr>
          <w:b w:val="0"/>
          <w:i/>
        </w:rPr>
        <w:t>Căn cứ vào Nghị quyết của Quốc hội Khóa X, kỳ họp thứ 6 về Chương trình xây dựng luật, pháp lệnh năm 2000;</w:t>
      </w:r>
      <w:r>
        <w:rPr>
          <w:b w:val="0"/>
          <w:i w:val="0"/>
        </w:rPr>
        <w:br/>
      </w:r>
      <w:r>
        <w:rPr>
          <w:b w:val="0"/>
          <w:i/>
        </w:rPr>
        <w:t>Pháp lệnh này sửa đổi, bổ sung một số điều của Pháp lệnh Cán bộ, công chức đã được Uỷ ban Thường vụ Quốc hội thông qua ngày 26 tháng 2 năm 1998.</w:t>
      </w:r>
      <w:r>
        <w:rPr>
          <w:b w:val="0"/>
          <w:i w:val="0"/>
        </w:rPr>
        <w:br/>
      </w:r>
      <w:r>
        <w:rPr>
          <w:b/>
          <w:i w:val="0"/>
        </w:rPr>
        <w:t>Điều 1. Sửa đổi, bổ sung một số điều của Pháp lệnh Cán bộ, công chức như sau:</w:t>
      </w:r>
      <w:r>
        <w:rPr>
          <w:b w:val="0"/>
          <w:i w:val="0"/>
        </w:rPr>
        <w:br/>
      </w:r>
      <w:r>
        <w:rPr>
          <w:b/>
          <w:i/>
        </w:rPr>
        <w:t>1. Điều 17 được sửa đổi, bổ sung:</w:t>
      </w:r>
      <w:r>
        <w:rPr>
          <w:b w:val="0"/>
          <w:i w:val="0"/>
        </w:rPr>
        <w:br/>
      </w:r>
      <w:r>
        <w:rPr>
          <w:b/>
          <w:i/>
        </w:rPr>
        <w:t>"Điều 17.</w:t>
      </w:r>
      <w:r>
        <w:rPr>
          <w:b w:val="0"/>
          <w:i w:val="0"/>
        </w:rPr>
        <w:t xml:space="preserve"> Cán bộ, công chức không được thành lập, tham gia thành lập hoặc tham gia quản lý, điều hành các doanh nghiệp tư nhân, công ty trách nhiệm hữu hạn, công ty cổ phần, công ty hợp danh, hợp tác xã, bệnh viện tư, trường học tư và tổ chức nghiên cứu khoa học tư. Cán bộ, công chức không được làm tư vấn cho các doanh nghiệp, tổ chức kinh doanh, dịch vụ và các tổ chức, cá nhân khác ở trong nước và nước ngoài về các công việc có liên quan đến bí mật nhà nước, bí mật công tác, những công việc thuộc thẩm quyền giải quyết của mình và các công việc khác mà việc tư vấn đó có khả năng gây phương hại đến lợi ích quốc gia. Chính phủ quy định cụ thể việc làm tư vấn của cán bộ, công chức."</w:t>
      </w:r>
      <w:r>
        <w:rPr>
          <w:b w:val="0"/>
          <w:i w:val="0"/>
        </w:rPr>
        <w:br/>
      </w:r>
      <w:r>
        <w:rPr>
          <w:b/>
          <w:i/>
        </w:rPr>
        <w:t>2. Điều 19 được sửa đổi, bổ sung:</w:t>
      </w:r>
      <w:r>
        <w:rPr>
          <w:b w:val="0"/>
          <w:i w:val="0"/>
        </w:rPr>
        <w:br/>
      </w:r>
      <w:r>
        <w:rPr>
          <w:b w:val="0"/>
          <w:i w:val="0"/>
        </w:rPr>
        <w:t>"</w:t>
      </w:r>
      <w:r>
        <w:rPr>
          <w:b/>
          <w:i/>
        </w:rPr>
        <w:t>Điều 19</w:t>
      </w:r>
      <w:r>
        <w:rPr>
          <w:b w:val="0"/>
          <w:i w:val="0"/>
        </w:rPr>
        <w:t>. Người đứng đầu, cấp phó của người đứng đầu cơ quan, vợ hoặc chồng của những người đó không được góp vốn vào doanh nghiệp hoạt động trong phạm vi ngành, nghề mà người đó trực tiếp thực hiện việc quản lý nhà nước."</w:t>
      </w:r>
      <w:r>
        <w:rPr>
          <w:b w:val="0"/>
          <w:i w:val="0"/>
        </w:rPr>
        <w:br/>
      </w:r>
      <w:r>
        <w:rPr>
          <w:b/>
          <w:i w:val="0"/>
        </w:rPr>
        <w:t xml:space="preserve">Điều 2. </w:t>
      </w:r>
      <w:r>
        <w:rPr>
          <w:b w:val="0"/>
          <w:i w:val="0"/>
        </w:rPr>
        <w:t>Những quy định trước đây trái với Pháp lệnh này đều bãi bỏ.</w:t>
      </w:r>
      <w:r>
        <w:rPr>
          <w:b w:val="0"/>
          <w:i w:val="0"/>
        </w:rPr>
        <w:br/>
      </w:r>
      <w:r>
        <w:rPr>
          <w:b/>
          <w:i w:val="0"/>
        </w:rPr>
        <w:t>Điều 3.</w:t>
      </w:r>
      <w:r>
        <w:rPr>
          <w:b w:val="0"/>
          <w:i w:val="0"/>
        </w:rPr>
        <w:br/>
      </w:r>
      <w:r>
        <w:rPr>
          <w:b w:val="0"/>
          <w:i w:val="0"/>
        </w:rPr>
        <w:t>1. Chính phủ quy định chi tiết và hướng dẫn thi hành Pháp lệnh này.</w:t>
      </w:r>
      <w:r>
        <w:rPr>
          <w:b w:val="0"/>
          <w:i w:val="0"/>
        </w:rPr>
        <w:br/>
      </w:r>
      <w:r>
        <w:rPr>
          <w:b w:val="0"/>
          <w:i w:val="0"/>
        </w:rPr>
        <w:t>2. Căn cứ vào Pháp lệnh này, tổ chức chính trị, tổ chức chính trị - xã hội quy định cụ thể việc thực hiện đối với cán bộ thuộc thẩm quyền quản lý của mình./.</w:t>
      </w:r>
      <w:r>
        <w:rPr>
          <w:b w:val="0"/>
          <w:i w:val="0"/>
        </w:rPr>
        <w:br/>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Nông Đức Mạnh</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Nông Đức Mạnh</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Nông Đức Mạnh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