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26/2026/NQ-HĐND Quy định mức chi cho hoạt động hỗ trợ pháp lý cho doanh nghiệp nhỏ và vừa trên địa bàn tỉnh Cà Mau</w:t>
      </w:r>
    </w:p>
    <w:p>
      <w:r>
        <w:rPr>
          <w:b w:val="0"/>
          <w:i w:val="0"/>
        </w:rPr>
        <w:br/>
      </w:r>
      <w:r>
        <w:rPr>
          <w:b w:val="0"/>
          <w:i w:val="0"/>
        </w:rPr>
        <w:br/>
      </w:r>
      <w:r>
        <w:rPr>
          <w:b/>
          <w:i w:val="0"/>
        </w:rPr>
        <w:t>HỘI Đ</w:t>
      </w:r>
      <w:r>
        <w:rPr>
          <w:b/>
          <w:i w:val="0"/>
        </w:rPr>
        <w:t>Ồ</w:t>
      </w:r>
      <w:r>
        <w:rPr>
          <w:b/>
          <w:i w:val="0"/>
        </w:rPr>
        <w:t>NG NHÂN DÂN</w:t>
      </w:r>
      <w:r>
        <w:rPr>
          <w:b/>
          <w:i w:val="0"/>
        </w:rPr>
        <w:t xml:space="preserve"> </w:t>
      </w:r>
      <w:r>
        <w:rPr>
          <w:b w:val="0"/>
          <w:i w:val="0"/>
        </w:rPr>
        <w:br/>
      </w:r>
      <w:r>
        <w:rPr>
          <w:b w:val="0"/>
          <w:i w:val="0"/>
        </w:rPr>
        <w:br/>
      </w:r>
      <w:r>
        <w:rPr>
          <w:b w:val="0"/>
          <w:i w:val="0"/>
        </w:rPr>
        <w:br/>
      </w:r>
      <w:r>
        <w:rPr>
          <w:b/>
          <w:i w:val="0"/>
        </w:rPr>
        <w:t xml:space="preserve"> </w:t>
      </w:r>
      <w:r>
        <w:rPr>
          <w:b/>
          <w:i w:val="0"/>
        </w:rPr>
        <w:t>CỘNG HÒA XÃ HỘI CHỦ NGHĨA VIỆT NAM</w:t>
      </w:r>
      <w:r>
        <w:rPr>
          <w:b w:val="0"/>
          <w:i w:val="0"/>
        </w:rPr>
        <w:br/>
      </w:r>
      <w:r>
        <w:rPr>
          <w:b w:val="0"/>
          <w:i w:val="0"/>
        </w:rPr>
        <w:br/>
      </w:r>
    </w:p>
    <w:p>
      <w:pPr>
        <w:jc w:val="center"/>
      </w:pPr>
      <w:r>
        <w:rPr>
          <w:b w:val="0"/>
          <w:i w:val="0"/>
        </w:rPr>
        <w:br/>
      </w:r>
      <w:r>
        <w:rPr>
          <w:b/>
          <w:i w:val="0"/>
        </w:rPr>
        <w:t>HỘI Đ</w:t>
      </w:r>
      <w:r>
        <w:rPr>
          <w:b/>
          <w:i w:val="0"/>
        </w:rPr>
        <w:t>Ồ</w:t>
      </w:r>
      <w:r>
        <w:rPr>
          <w:b/>
          <w:i w:val="0"/>
        </w:rPr>
        <w:t>NG NHÂN DÂN</w:t>
      </w:r>
      <w:r>
        <w:rPr>
          <w:b/>
          <w:i w:val="0"/>
        </w:rPr>
        <w:t xml:space="preserve"> </w:t>
      </w:r>
      <w:r>
        <w:rPr>
          <w:b w:val="0"/>
          <w:i w:val="0"/>
        </w:rPr>
        <w:br/>
      </w:r>
    </w:p>
    <w:p>
      <w:pPr>
        <w:jc w:val="center"/>
      </w:pPr>
      <w:r>
        <w:rPr>
          <w:b w:val="0"/>
          <w:i w:val="0"/>
        </w:rPr>
        <w:br/>
      </w:r>
      <w:r>
        <w:rPr>
          <w:b/>
          <w:i w:val="0"/>
        </w:rPr>
        <w:t xml:space="preserve"> </w:t>
      </w:r>
      <w:r>
        <w:rPr>
          <w:b/>
          <w:i w:val="0"/>
        </w:rPr>
        <w:t>CỘNG HÒA XÃ HỘI CHỦ NGHĨA VIỆT NAM</w:t>
      </w:r>
      <w:r>
        <w:rPr>
          <w:b w:val="0"/>
          <w:i w:val="0"/>
        </w:rPr>
        <w:br/>
      </w:r>
    </w:p>
    <w:p>
      <w:r>
        <w:rPr>
          <w:b w:val="0"/>
          <w:i w:val="0"/>
        </w:rPr>
        <w:br/>
      </w:r>
      <w:r>
        <w:rPr>
          <w:b w:val="0"/>
          <w:i w:val="0"/>
        </w:rPr>
        <w:br/>
      </w:r>
      <w:r>
        <w:rPr>
          <w:b/>
          <w:i w:val="0"/>
        </w:rPr>
        <w:t xml:space="preserve"> </w:t>
      </w:r>
      <w:r>
        <w:rPr>
          <w:b/>
          <w:i w:val="0"/>
        </w:rPr>
        <w:t xml:space="preserve">TỈNH </w:t>
      </w:r>
      <w:r>
        <w:rPr>
          <w:b/>
          <w:i w:val="0"/>
        </w:rPr>
        <w:t>CÀ MAU</w:t>
      </w:r>
      <w:r>
        <w:rPr>
          <w:b w:val="0"/>
          <w:i w:val="0"/>
        </w:rPr>
        <w:br/>
      </w:r>
      <w:r>
        <w:rPr>
          <w:b w:val="0"/>
          <w:i w:val="0"/>
        </w:rPr>
        <w:br/>
      </w:r>
      <w:r>
        <w:rPr>
          <w:b w:val="0"/>
          <w:i w:val="0"/>
        </w:rPr>
        <w:br/>
      </w:r>
      <w:r>
        <w:rPr>
          <w:b/>
          <w:i w:val="0"/>
        </w:rPr>
        <w:t xml:space="preserve"> </w:t>
      </w:r>
      <w:r>
        <w:rPr>
          <w:b/>
          <w:i w:val="0"/>
        </w:rPr>
        <w:t>Độc lập - Tự do - Hạnh phúc</w:t>
      </w:r>
      <w:r>
        <w:rPr>
          <w:b w:val="0"/>
          <w:i w:val="0"/>
        </w:rPr>
        <w:br/>
      </w:r>
      <w:r>
        <w:rPr>
          <w:b w:val="0"/>
          <w:i w:val="0"/>
        </w:rPr>
        <w:br/>
      </w:r>
    </w:p>
    <w:p>
      <w:pPr>
        <w:jc w:val="center"/>
      </w:pPr>
      <w:r>
        <w:rPr>
          <w:b w:val="0"/>
          <w:i w:val="0"/>
        </w:rPr>
        <w:br/>
      </w:r>
      <w:r>
        <w:rPr>
          <w:b/>
          <w:i w:val="0"/>
        </w:rPr>
        <w:t xml:space="preserve"> </w:t>
      </w:r>
      <w:r>
        <w:rPr>
          <w:b/>
          <w:i w:val="0"/>
        </w:rPr>
        <w:t xml:space="preserve">TỈNH </w:t>
      </w:r>
      <w:r>
        <w:rPr>
          <w:b/>
          <w:i w:val="0"/>
        </w:rPr>
        <w:t>CÀ MAU</w:t>
      </w:r>
      <w:r>
        <w:rPr>
          <w:b w:val="0"/>
          <w:i w:val="0"/>
        </w:rPr>
        <w:br/>
      </w:r>
    </w:p>
    <w:p>
      <w:pPr>
        <w:jc w:val="center"/>
      </w:pPr>
      <w:r>
        <w:rPr>
          <w:b w:val="0"/>
          <w:i w:val="0"/>
        </w:rPr>
        <w:br/>
      </w:r>
      <w:r>
        <w:rPr>
          <w:b/>
          <w:i w:val="0"/>
        </w:rPr>
        <w:t xml:space="preserve"> </w:t>
      </w:r>
      <w:r>
        <w:rPr>
          <w:b/>
          <w:i w:val="0"/>
        </w:rPr>
        <w:t>Độc lập - Tự do - Hạnh phúc</w:t>
      </w:r>
      <w:r>
        <w:rPr>
          <w:b w:val="0"/>
          <w:i w:val="0"/>
        </w:rPr>
        <w:br/>
      </w:r>
    </w:p>
    <w:p>
      <w:r>
        <w:rPr>
          <w:b w:val="0"/>
          <w:i w:val="0"/>
        </w:rPr>
        <w:br/>
      </w:r>
      <w:r>
        <w:rPr>
          <w:b w:val="0"/>
          <w:i w:val="0"/>
        </w:rPr>
        <w:br/>
      </w:r>
      <w:r>
        <w:rPr>
          <w:b w:val="0"/>
          <w:i w:val="0"/>
        </w:rPr>
        <w:t xml:space="preserve"> </w:t>
      </w:r>
      <w:r>
        <w:rPr>
          <w:b w:val="0"/>
          <w:i w:val="0"/>
        </w:rPr>
        <w:t>Số:</w:t>
      </w:r>
      <w:r>
        <w:rPr>
          <w:b w:val="0"/>
          <w:i w:val="0"/>
        </w:rPr>
        <w:t xml:space="preserve"> 26</w:t>
      </w:r>
      <w:r>
        <w:rPr>
          <w:b w:val="0"/>
          <w:i w:val="0"/>
        </w:rPr>
        <w:t>/202</w:t>
      </w:r>
      <w:r>
        <w:rPr>
          <w:b w:val="0"/>
          <w:i w:val="0"/>
        </w:rPr>
        <w:t>6</w:t>
      </w:r>
      <w:r>
        <w:rPr>
          <w:b w:val="0"/>
          <w:i w:val="0"/>
        </w:rPr>
        <w:t>/NQ-HĐND</w:t>
      </w:r>
      <w:r>
        <w:rPr>
          <w:b w:val="0"/>
          <w:i w:val="0"/>
        </w:rPr>
        <w:br/>
      </w:r>
      <w:r>
        <w:rPr>
          <w:b w:val="0"/>
          <w:i w:val="0"/>
        </w:rPr>
        <w:br/>
      </w:r>
      <w:r>
        <w:rPr>
          <w:b w:val="0"/>
          <w:i w:val="0"/>
        </w:rPr>
        <w:br/>
      </w:r>
      <w:r>
        <w:rPr>
          <w:b w:val="0"/>
          <w:i w:val="0"/>
        </w:rPr>
        <w:t xml:space="preserve"> </w:t>
      </w:r>
      <w:r>
        <w:rPr>
          <w:b w:val="0"/>
          <w:i w:val="0"/>
        </w:rPr>
        <w:t xml:space="preserve"> </w:t>
      </w:r>
      <w:r>
        <w:rPr>
          <w:b w:val="0"/>
          <w:i/>
        </w:rPr>
        <w:t>Cà Mau</w:t>
      </w:r>
      <w:r>
        <w:rPr>
          <w:b w:val="0"/>
          <w:i/>
        </w:rPr>
        <w:t>, ngày</w:t>
      </w:r>
      <w:r>
        <w:rPr>
          <w:b w:val="0"/>
          <w:i/>
        </w:rPr>
        <w:t xml:space="preserve"> 14 </w:t>
      </w:r>
      <w:r>
        <w:rPr>
          <w:b w:val="0"/>
          <w:i/>
        </w:rPr>
        <w:t>tháng 5</w:t>
      </w:r>
      <w:r>
        <w:rPr>
          <w:b w:val="0"/>
          <w:i/>
        </w:rPr>
        <w:t xml:space="preserve"> năm 202</w:t>
      </w:r>
      <w:r>
        <w:rPr>
          <w:b w:val="0"/>
          <w:i/>
        </w:rPr>
        <w:t>6</w:t>
      </w:r>
      <w:r>
        <w:rPr>
          <w:b w:val="0"/>
          <w:i w:val="0"/>
        </w:rPr>
        <w:br/>
      </w:r>
      <w:r>
        <w:rPr>
          <w:b w:val="0"/>
          <w:i w:val="0"/>
        </w:rPr>
        <w:br/>
      </w:r>
    </w:p>
    <w:p>
      <w:pPr>
        <w:jc w:val="center"/>
      </w:pPr>
      <w:r>
        <w:rPr>
          <w:b w:val="0"/>
          <w:i w:val="0"/>
        </w:rPr>
        <w:br/>
      </w:r>
      <w:r>
        <w:rPr>
          <w:b w:val="0"/>
          <w:i w:val="0"/>
        </w:rPr>
        <w:t xml:space="preserve"> </w:t>
      </w:r>
      <w:r>
        <w:rPr>
          <w:b w:val="0"/>
          <w:i w:val="0"/>
        </w:rPr>
        <w:t>Số:</w:t>
      </w:r>
      <w:r>
        <w:rPr>
          <w:b w:val="0"/>
          <w:i w:val="0"/>
        </w:rPr>
        <w:t xml:space="preserve"> 26</w:t>
      </w:r>
      <w:r>
        <w:rPr>
          <w:b w:val="0"/>
          <w:i w:val="0"/>
        </w:rPr>
        <w:t>/202</w:t>
      </w:r>
      <w:r>
        <w:rPr>
          <w:b w:val="0"/>
          <w:i w:val="0"/>
        </w:rPr>
        <w:t>6</w:t>
      </w:r>
      <w:r>
        <w:rPr>
          <w:b w:val="0"/>
          <w:i w:val="0"/>
        </w:rPr>
        <w:t>/NQ-HĐND</w:t>
      </w:r>
      <w:r>
        <w:rPr>
          <w:b w:val="0"/>
          <w:i w:val="0"/>
        </w:rPr>
        <w:br/>
      </w:r>
    </w:p>
    <w:p>
      <w:pPr>
        <w:jc w:val="center"/>
      </w:pPr>
      <w:r>
        <w:rPr>
          <w:b w:val="0"/>
          <w:i w:val="0"/>
        </w:rPr>
        <w:br/>
      </w:r>
      <w:r>
        <w:rPr>
          <w:b w:val="0"/>
          <w:i w:val="0"/>
        </w:rPr>
        <w:t xml:space="preserve"> </w:t>
      </w:r>
      <w:r>
        <w:rPr>
          <w:b w:val="0"/>
          <w:i w:val="0"/>
        </w:rPr>
        <w:t xml:space="preserve"> </w:t>
      </w:r>
      <w:r>
        <w:rPr>
          <w:b w:val="0"/>
          <w:i/>
        </w:rPr>
        <w:t>Cà Mau</w:t>
      </w:r>
      <w:r>
        <w:rPr>
          <w:b w:val="0"/>
          <w:i/>
        </w:rPr>
        <w:t>, ngày</w:t>
      </w:r>
      <w:r>
        <w:rPr>
          <w:b w:val="0"/>
          <w:i/>
        </w:rPr>
        <w:t xml:space="preserve"> 14 </w:t>
      </w:r>
      <w:r>
        <w:rPr>
          <w:b w:val="0"/>
          <w:i/>
        </w:rPr>
        <w:t>tháng 5</w:t>
      </w:r>
      <w:r>
        <w:rPr>
          <w:b w:val="0"/>
          <w:i/>
        </w:rPr>
        <w:t xml:space="preserve"> năm 202</w:t>
      </w:r>
      <w:r>
        <w:rPr>
          <w:b w:val="0"/>
          <w:i/>
        </w:rPr>
        <w:t>6</w:t>
      </w:r>
      <w:r>
        <w:rPr>
          <w:b w:val="0"/>
          <w:i w:val="0"/>
        </w:rPr>
        <w:br/>
      </w:r>
    </w:p>
    <w:p>
      <w:pPr>
        <w:jc w:val="center"/>
      </w:pPr>
      <w:r>
        <w:rPr>
          <w:b/>
          <w:i w:val="0"/>
        </w:rPr>
        <w:t>NGHỊ QUYẾT</w:t>
      </w:r>
    </w:p>
    <w:p>
      <w:pPr>
        <w:jc w:val="center"/>
      </w:pPr>
      <w:r>
        <w:rPr>
          <w:b/>
          <w:i w:val="0"/>
        </w:rPr>
        <w:t xml:space="preserve">Quy định mức chi cho hoạt động hỗ trợ pháp lý </w:t>
      </w:r>
    </w:p>
    <w:p>
      <w:pPr>
        <w:jc w:val="center"/>
      </w:pPr>
      <w:r>
        <w:rPr>
          <w:b/>
          <w:i w:val="0"/>
        </w:rPr>
        <w:t>cho doanh nghiệp nhỏ và vừa trên địa bàn tỉnh Cà Mau</w:t>
      </w:r>
    </w:p>
    <w:p>
      <w:pPr>
        <w:jc w:val="both"/>
      </w:pPr>
      <w:r>
        <w:rPr>
          <w:b w:val="0"/>
          <w:i/>
        </w:rPr>
        <w:t xml:space="preserve">Căn cứ Luật Tổ chức chính quyền địa phương số 72/2025/QH15; </w:t>
      </w:r>
    </w:p>
    <w:p>
      <w:pPr>
        <w:jc w:val="both"/>
      </w:pPr>
      <w:r>
        <w:rPr>
          <w:b w:val="0"/>
          <w:i/>
        </w:rPr>
        <w:t xml:space="preserve">Căn cứ Luật Ban hành văn bản quy phạm pháp luật số 64/2025/QH15 được sửa đổi, bổ sung bởi Luật số 87/2025/QH15; </w:t>
      </w:r>
    </w:p>
    <w:p>
      <w:pPr>
        <w:jc w:val="both"/>
      </w:pPr>
      <w:r>
        <w:rPr>
          <w:b w:val="0"/>
          <w:i/>
        </w:rPr>
        <w:t>Căn cứ Luật Ngân sách nhà nước số 89/2025/QH15;</w:t>
      </w:r>
    </w:p>
    <w:p>
      <w:pPr>
        <w:jc w:val="both"/>
      </w:pPr>
      <w:r>
        <w:rPr>
          <w:b w:val="0"/>
          <w:i/>
        </w:rPr>
        <w:t>Căn cứ Nghị định số 55/2019/NĐ-CP ngày 24 tháng 6 năm 2019 của Chính phủ về hỗ trợ pháp lý cho doanh nghiệp nhỏ và vừa;</w:t>
      </w:r>
    </w:p>
    <w:p>
      <w:pPr>
        <w:jc w:val="both"/>
      </w:pPr>
      <w:r>
        <w:rPr>
          <w:b w:val="0"/>
          <w:i/>
        </w:rPr>
        <w:t>Căn cứ Nghị định số 121/2025/NĐ-CP ngày 11 tháng 6 năm 2025 của Chính phủ quy định về phân quyền, phân cấp trong lĩnh vực quản lý nhà nước của Bộ Tư pháp;</w:t>
      </w:r>
    </w:p>
    <w:p>
      <w:pPr>
        <w:jc w:val="both"/>
      </w:pPr>
      <w:r>
        <w:rPr>
          <w:b w:val="0"/>
          <w:i/>
        </w:rPr>
        <w:t>Căn cứ Nghị định số 18/2026/NĐ-CP ngày 14 tháng 01 năm 2026 của Chính phủ sửa đổi, bổ sung một số nghị định để cắt giảm, đơn giản hóa thủ tục hành chính, điều kiện kinh doanh thuộc phạm vi quản lý của Bộ Tư pháp;</w:t>
      </w:r>
    </w:p>
    <w:p>
      <w:pPr>
        <w:jc w:val="both"/>
      </w:pPr>
      <w:r>
        <w:rPr>
          <w:b w:val="0"/>
          <w:i/>
        </w:rPr>
        <w:t>Căn cứ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p>
    <w:p>
      <w:pPr>
        <w:jc w:val="both"/>
      </w:pPr>
      <w:r>
        <w:rPr>
          <w:b w:val="0"/>
          <w:i/>
        </w:rPr>
        <w:t>Xét Tờ trình số 342/TTr-UBND ngày 12 tháng 5 năm 2026 của Ủy ban nhân dân tỉnh Cà Mau về dự thảo Nghị quyết quy định mức chi cho hoạt động hỗ trợ pháp lý cho doanh nghiệp nhỏ và vừa trên địa bàn tỉnh Cà Mau (sau thẩm tra); Báo cáo thẩm tra số 127/BC-BPC ngày 12 tháng 5 năm 2026 của Ban Pháp chế Hội đồng nhân dân tỉnh; ý kiến thảo luận của đại biểu Hội đồng nhân dân tại kỳ họp.</w:t>
      </w:r>
    </w:p>
    <w:p>
      <w:pPr>
        <w:jc w:val="both"/>
      </w:pPr>
      <w:r>
        <w:rPr>
          <w:b w:val="0"/>
          <w:i/>
        </w:rPr>
        <w:t>Hội đồng nhân dân ban hành Nghị quyết quy định mức chi cho hoạt động hỗ trợ pháp lý cho doanh nghiệp nhỏ và vừa trên địa bàn tỉnh Cà Mau.</w:t>
      </w:r>
    </w:p>
    <w:p>
      <w:pPr>
        <w:jc w:val="both"/>
      </w:pPr>
      <w:r>
        <w:rPr>
          <w:b/>
          <w:i w:val="0"/>
        </w:rPr>
        <w:t xml:space="preserve">Điều 1. Phạm vi điều chỉnh </w:t>
      </w:r>
    </w:p>
    <w:p>
      <w:pPr>
        <w:jc w:val="both"/>
      </w:pPr>
      <w:r>
        <w:rPr>
          <w:b w:val="0"/>
          <w:i w:val="0"/>
        </w:rPr>
        <w:t>Nghị quyết này quy định mức chi cho hoạt động hỗ trợ pháp lý cho doanh nghiệp nhỏ và vừa trên địa bàn tỉnh Cà Mau theo khoản 5 Điều 5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p>
    <w:p>
      <w:r>
        <w:rPr>
          <w:b/>
          <w:i w:val="0"/>
        </w:rPr>
        <w:t>Điều 2. Đối tượng áp dụng</w:t>
      </w:r>
    </w:p>
    <w:p>
      <w:pPr>
        <w:jc w:val="both"/>
      </w:pPr>
      <w:r>
        <w:rPr>
          <w:b w:val="0"/>
          <w:i w:val="0"/>
        </w:rPr>
        <w:t>1. Sở, ban, ngành tỉnh; Ủy ban nhân dân xã, phường.</w:t>
      </w:r>
    </w:p>
    <w:p>
      <w:pPr>
        <w:jc w:val="both"/>
      </w:pPr>
      <w:r>
        <w:rPr>
          <w:b w:val="0"/>
          <w:i w:val="0"/>
        </w:rPr>
        <w:t>2. Doanh nghiệp nhỏ và vừa.</w:t>
      </w:r>
    </w:p>
    <w:p>
      <w:pPr>
        <w:jc w:val="both"/>
      </w:pPr>
      <w:r>
        <w:rPr>
          <w:b w:val="0"/>
          <w:i w:val="0"/>
        </w:rPr>
        <w:t>3. Tổ chức đại diện cho doanh nghiệp.</w:t>
      </w:r>
    </w:p>
    <w:p>
      <w:pPr>
        <w:jc w:val="both"/>
      </w:pPr>
      <w:r>
        <w:rPr>
          <w:b w:val="0"/>
          <w:i w:val="0"/>
        </w:rPr>
        <w:t>4. Cơ quan, tổ chức và cá nhân cung cấp dịch vụ hỗ trợ pháp lý cho doanh nghiệp nhỏ và vừa.</w:t>
      </w:r>
    </w:p>
    <w:p>
      <w:pPr>
        <w:jc w:val="both"/>
      </w:pPr>
      <w:r>
        <w:rPr>
          <w:b w:val="0"/>
          <w:i w:val="0"/>
        </w:rPr>
        <w:t>5. Cơ quan, tổ chức và cá nhân khác có liên quan đến hỗ trợ pháp lý cho doanh nghiệp nhỏ và vừa.</w:t>
      </w:r>
    </w:p>
    <w:p>
      <w:pPr>
        <w:jc w:val="both"/>
      </w:pPr>
      <w:r>
        <w:rPr>
          <w:b/>
          <w:i w:val="0"/>
        </w:rPr>
        <w:t xml:space="preserve">Điều 3. Nội dung và mức chi </w:t>
      </w:r>
    </w:p>
    <w:p>
      <w:pPr>
        <w:jc w:val="both"/>
      </w:pPr>
      <w:r>
        <w:rPr>
          <w:b w:val="0"/>
          <w:i w:val="0"/>
        </w:rPr>
        <w:t>1. Chi hỗ trợ tư vấn pháp luật đối với các vụ việc, vướng mắc pháp lý phát sinh trong quá trình tổ chức và hoạt động sản xuất, kinh doanh của doanh nghiệp nhỏ và vừa có ký kết hợp đồng tư vấn pháp luật khi sử dụng dịch vụ tư vấn pháp luật của luật sư, tổ chức hành nghề luật sư, tư vấn viên pháp luật, trung tâm tư vấn pháp luật đủ điều kiện hành nghề tư vấn pháp luật thuộc mạng lưới tư vấn viên pháp luật theo quy định. Mức chi bằng với mức chi quy định tại khoản 3 Điều 12 Nghị định số 18/2026/NĐ-CP ngày 14 tháng 01 năm 2026 của Chính phủ sửa đổi, bổ sung một số nghị định để cắt giảm, đơn giản hóa thủ tục hành chính, điều kiện kinh doanh thuộc phạm vi quản lý của Bộ Tư pháp.</w:t>
      </w:r>
    </w:p>
    <w:p>
      <w:pPr>
        <w:jc w:val="both"/>
      </w:pPr>
      <w:r>
        <w:rPr>
          <w:b w:val="0"/>
          <w:i w:val="0"/>
        </w:rPr>
        <w:t>2. Chi hoạt động cung cấp thông tin pháp luật trong nước, thông tin pháp luật nước ngoài, pháp luật quốc tế, cảnh báo rủi ro pháp lý và chính sách của ngành, lĩnh vực, địa phương liên quan đến lĩnh vực hoạt động của doanh nghiệp nhỏ và vừa theo quy định tại điểm a khoản 2 Điều 10 Nghị định số 55/2019/NĐ-CP ngày 24 tháng 6 năm 2019 của Chính phủ về hỗ trợ pháp lý cho doanh nghiệp nhỏ và vừa dưới các hình thức: Tài liệu viết; dữ liệu điện tử (bản tin pháp luật, phóng sự, chuyên đề, chuyên mục nâng cao kiến thức pháp luật) để đăng tải trên các phương tiện truyền thông; mức chi theo quy định cụ thể như sau:</w:t>
      </w:r>
    </w:p>
    <w:p>
      <w:pPr>
        <w:jc w:val="both"/>
      </w:pPr>
      <w:r>
        <w:rPr>
          <w:b w:val="0"/>
          <w:i w:val="0"/>
        </w:rPr>
        <w:t>a) Chi biên soạn sách, tài liệu: Mức chi được áp dụng theo quy định tại Điều 3, Điều 4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pPr>
        <w:jc w:val="both"/>
      </w:pPr>
      <w:r>
        <w:rPr>
          <w:b w:val="0"/>
          <w:i w:val="0"/>
        </w:rPr>
        <w:t>b) Chi sản xuất, phát hành, phát sóng các chương trình thu hình, thu thanh và các nội dung chi khác liên quan đến hoạt động cung cấp thông tin: Mức chi được áp dụng trực tiếp theo quy định tại Điều 4, Điều 9, Điều 10 Nghị định số 18/2014/NĐ-CP ngày 14 tháng 3 năm 2014 của Chính phủ về chế độ nhuận bút trong lĩnh vực báo chí, xuất bản và khoản 3 Điều 6 Nghị định số 21/2015/NĐ-CP ngày 14 tháng 02 năm 2015 của Chính phủ quy định về nhuận bút, thù lao đối với tác phẩm điện ảnh, mỹ thuật, nhiếp ảnh, sân khấu và các loại hình nghệ thuật biểu diễn khác, quy định về định mức kinh tế - kỹ thuật hiện hành và quy định của pháp luật về mua sắm, hóa đơn, chứng từ hợp pháp theo quy định của pháp luật hiện hành.</w:t>
      </w:r>
    </w:p>
    <w:p>
      <w:pPr>
        <w:jc w:val="both"/>
      </w:pPr>
      <w:r>
        <w:rPr>
          <w:b w:val="0"/>
          <w:i w:val="0"/>
        </w:rPr>
        <w:t>3. Chi tổ chức các hoạt động bồi dưỡng kiến thức pháp luật quy định tại điểm b khoản 2 Điều 10 Nghị định số 55/2019/NĐ-CP.</w:t>
      </w:r>
    </w:p>
    <w:p>
      <w:pPr>
        <w:jc w:val="both"/>
      </w:pPr>
      <w:r>
        <w:rPr>
          <w:b w:val="0"/>
          <w:i w:val="0"/>
        </w:rPr>
        <w:t>a) Chi tập huấn, bồi dưỡng kiến thức pháp luật cho doanh nghiệp nhỏ và vừa, tư vấn viên pháp luật;</w:t>
      </w:r>
    </w:p>
    <w:p>
      <w:pPr>
        <w:jc w:val="both"/>
      </w:pPr>
      <w:r>
        <w:rPr>
          <w:b w:val="0"/>
          <w:i w:val="0"/>
        </w:rPr>
        <w:t xml:space="preserve">Ngân sách nhà nước hỗ trợ các khoản chi </w:t>
      </w:r>
      <w:r>
        <w:rPr>
          <w:b w:val="0"/>
          <w:i/>
        </w:rPr>
        <w:t>(</w:t>
      </w:r>
      <w:r>
        <w:rPr>
          <w:b w:val="0"/>
          <w:i w:val="0"/>
        </w:rPr>
        <w:t>trừ các khoản chi do doanh nghiệp nhỏ và vừa, tư vấn viên pháp luật tự chi trả): Thực hiện theo quy định tại Điều 3, Điều 4, Điều 5 và khoản 1, khoản 2 Điều 7 Nghị quyết số 09/2025/NQ-HĐND ngày 13 tháng 11 năm 2025 của Hội đồng nhân dân tỉnh Cà Mau quy định mức chi công tác phí, chi hội nghị trên địa bàn tỉnh Cà Mau;</w:t>
      </w:r>
    </w:p>
    <w:p>
      <w:pPr>
        <w:jc w:val="both"/>
      </w:pPr>
      <w:r>
        <w:rPr>
          <w:b w:val="0"/>
          <w:i w:val="0"/>
        </w:rPr>
        <w:t>b) Chi tập huấn, bồi dưỡng kiến thức pháp luật cho các đối tượng của các sở, ngành, địa phương làm công tác hỗ trợ pháp lý cho doanh nghiệp nhỏ và vừa: Thực hiện theo Nghị quyết số 35/2023/NQ-HĐND ngày 06/12/2023 của Hội đồng nhân dân tỉnh quy định một số mức chi đào tạo, bồi dưỡng cán bộ, công chức, viên chức trong nước của tỉnh Cà Mau.</w:t>
      </w:r>
    </w:p>
    <w:p>
      <w:pPr>
        <w:jc w:val="both"/>
      </w:pPr>
      <w:r>
        <w:rPr>
          <w:b w:val="0"/>
          <w:i w:val="0"/>
        </w:rPr>
        <w:t>4. Chi tổ chức đối thoại, diễn đàn tư vấn pháp luật cho doanh nghiệp nhỏ và vừa: Thực hiện theo quy định tại Điều 3, Điều 4, Điều 5 và khoản 1, khoản 2 Điều 7 Nghị quyết số 09/2025/NQ-HĐND ngày 13 tháng 11 năm 2025 của Hội đồng nhân dân tỉnh Cà Mau quy định mức chi công tác phí, chi hội nghị trên địa bàn tỉnh Cà Mau.</w:t>
      </w:r>
    </w:p>
    <w:p>
      <w:pPr>
        <w:jc w:val="both"/>
      </w:pPr>
      <w:r>
        <w:rPr>
          <w:b w:val="0"/>
          <w:i w:val="0"/>
        </w:rPr>
        <w:t>5. Chi mua các ấn phẩm, sách, tài liệu tuyên truyền phục vụ hoạt động hỗ trợ pháp lý cho doanh nghiệp nhỏ và vừa, hộ kinh doanh: Thực hiện theo quy định của pháp luật về mua sắm, hóa đơn, chứng từ hợp pháp theo quy định của pháp luật hiện hành.</w:t>
      </w:r>
    </w:p>
    <w:p>
      <w:pPr>
        <w:jc w:val="both"/>
      </w:pPr>
      <w:r>
        <w:rPr>
          <w:b w:val="0"/>
          <w:i w:val="0"/>
        </w:rPr>
        <w:t>6. Chi xây dựng và thực hiện chương trình hỗ trợ pháp lý cho doanh nghiệp nhỏ và vừa:</w:t>
      </w:r>
    </w:p>
    <w:p>
      <w:pPr>
        <w:jc w:val="both"/>
      </w:pPr>
      <w:r>
        <w:rPr>
          <w:b w:val="0"/>
          <w:i w:val="0"/>
        </w:rPr>
        <w:t>a) Chi khảo sát nhu cầu hỗ trợ pháp lý cho doanh nghiệp nhỏ và vừa, hộ kinh doanh: Thực hiện theo Nghị quyết số 06/2026/NQ-HĐND ngày 14 tháng 5 năm 2026 của Hội đồng nhân dân tỉnh Cà Mau quy định nội dung, mức chi của các cuộc điều tra thống kê trên địa bàn tỉnh Cà Mau;</w:t>
      </w:r>
    </w:p>
    <w:p>
      <w:pPr>
        <w:jc w:val="both"/>
      </w:pPr>
      <w:r>
        <w:rPr>
          <w:b w:val="0"/>
          <w:i w:val="0"/>
        </w:rPr>
        <w:t>b) Chi các cuộc họp góp ý đề cương chương trình, xét duyệt, thẩm định, xây dựng nội dung chương trình: Mức chi thực hiện theo quy định tại Điều 7 Nghị quyết số 09/2025/NQ-HĐND ngày 13 tháng 11 năm 2025 của Hội đồng nhân dân tỉnh Cà Mau quy định mức chi công tác phí, chi hội nghị trên địa bàn tỉnh Cà Mau;</w:t>
      </w:r>
    </w:p>
    <w:p>
      <w:pPr>
        <w:jc w:val="both"/>
      </w:pPr>
      <w:r>
        <w:rPr>
          <w:b w:val="0"/>
          <w:i w:val="0"/>
        </w:rPr>
        <w:t>c)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hiện.</w:t>
      </w:r>
    </w:p>
    <w:p>
      <w:r>
        <w:rPr>
          <w:b/>
          <w:i w:val="0"/>
        </w:rPr>
        <w:t>Điều 4. Nguồn kinh phí</w:t>
      </w:r>
    </w:p>
    <w:p>
      <w:pPr>
        <w:jc w:val="both"/>
      </w:pPr>
      <w:r>
        <w:rPr>
          <w:b w:val="0"/>
          <w:i w:val="0"/>
        </w:rPr>
        <w:t>1. Ngân sách Nhà nước bố trí kinh phí chi hoạt động hỗ trợ pháp lý cho doanh nghiệp nhỏ và vừa trong dự toán chi thường xuyên hàng năm của các đơn vị, địa phương theo phân cấp ngân sách Nhà nước hiện hành.</w:t>
      </w:r>
    </w:p>
    <w:p>
      <w:pPr>
        <w:jc w:val="both"/>
      </w:pPr>
      <w:r>
        <w:rPr>
          <w:b w:val="0"/>
          <w:i w:val="0"/>
        </w:rPr>
        <w:t>2. Nguồn kinh phí tài trợ, hỗ trợ, đóng góp của các doanh nghiệp, tổ chức, cá nhân trong và ngoài nước phục vụ hoạt động hỗ trợ pháp lý cho doanh nghiệp nhỏ và vừa, hộ kinh doanh theo quy định của pháp luật.</w:t>
      </w:r>
    </w:p>
    <w:p>
      <w:r>
        <w:rPr>
          <w:b w:val="0"/>
          <w:i w:val="0"/>
        </w:rPr>
        <w:t>3. Nguồn kinh phí hợp pháp khác theo quy định của pháp luật.</w:t>
      </w:r>
    </w:p>
    <w:p>
      <w:r>
        <w:rPr>
          <w:b/>
          <w:i w:val="0"/>
        </w:rPr>
        <w:t>Điều 5. Hiệu lực thi hành</w:t>
      </w:r>
    </w:p>
    <w:p>
      <w:r>
        <w:rPr>
          <w:b w:val="0"/>
          <w:i w:val="0"/>
        </w:rPr>
        <w:t>1. Nghị quyết này có hiệu lực thi hành từ ngày 01 tháng 6 năm 2026.</w:t>
      </w:r>
    </w:p>
    <w:p>
      <w:pPr>
        <w:jc w:val="both"/>
      </w:pPr>
      <w:r>
        <w:rPr>
          <w:b w:val="0"/>
          <w:i w:val="0"/>
        </w:rPr>
        <w:t>2. Nghị quyết số 15/2021/NQ-HĐND ngày 09 tháng 12 năm 2021 của Hội đồng nhân dân tỉnh Bạc Liêu quy định nội dung, mức chi phục vụ hoạt động hỗ trợ pháp lý cho doanh nghiệp nhỏ và vừa trên địa bàn tỉnh Bạc Liêu hết hiệu lực kể từ ngày Nghị quyết này có hiệu lực thi hành.</w:t>
      </w:r>
    </w:p>
    <w:p>
      <w:pPr>
        <w:jc w:val="both"/>
      </w:pPr>
      <w:r>
        <w:rPr>
          <w:b w:val="0"/>
          <w:i w:val="0"/>
        </w:rPr>
        <w:t>3. Trong quá trình tổ chức triển khai thực hiện, nếu các văn bản quy phạm pháp luật viện dẫn để áp dụng tại Nghị quyết này được sửa đổi, bổ sung hoặc thay thế bằng văn bản mới thì áp dụng theo các văn bản sửa đổi, bổ sung hoặc thay thế.</w:t>
      </w:r>
    </w:p>
    <w:p>
      <w:pPr>
        <w:jc w:val="both"/>
      </w:pPr>
      <w:r>
        <w:rPr>
          <w:b/>
          <w:i w:val="0"/>
        </w:rPr>
        <w:t>Điều 6. Tổ chức thực hiện</w:t>
      </w:r>
    </w:p>
    <w:p>
      <w:pPr>
        <w:jc w:val="both"/>
      </w:pPr>
      <w:r>
        <w:rPr>
          <w:b w:val="0"/>
          <w:i w:val="0"/>
        </w:rPr>
        <w:t>1. Ủy ban nhân dân tỉnh triển khai thực hiện Nghị quyết này.</w:t>
      </w:r>
    </w:p>
    <w:p>
      <w:pPr>
        <w:jc w:val="both"/>
      </w:pPr>
      <w:r>
        <w:rPr>
          <w:b w:val="0"/>
          <w:i w:val="0"/>
        </w:rPr>
        <w:t>2. Thường trực Hội đồng nhân dân, các Ban của Hội đồng nhân dân, các Tổ đại biểu Hội đồng nhân dân và đại biểu Hội đồng nhân dân tỉnh giám sát việc thực hiện Nghị quyết.</w:t>
      </w:r>
    </w:p>
    <w:p>
      <w:pPr>
        <w:jc w:val="both"/>
      </w:pPr>
      <w:r>
        <w:rPr>
          <w:b w:val="0"/>
          <w:i/>
        </w:rPr>
        <w:t>Nghị quyết này đã được Hội đồng nhân dân tỉnh Cà Mau khóa XI, kỳ họp thứ 2 (chuyên đề) thông qua ngày 14 tháng 5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Ủy ban Thường vụ Quốc hội;</w:t>
            </w:r>
            <w:r>
              <w:br/>
            </w:r>
            <w:r>
              <w:rPr>
                <w:b w:val="0"/>
                <w:i w:val="0"/>
              </w:rPr>
              <w:br/>
              <w:t xml:space="preserve">         - Chính phủ;</w:t>
            </w:r>
            <w:r>
              <w:br/>
            </w:r>
            <w:r>
              <w:rPr>
                <w:b w:val="0"/>
                <w:i w:val="0"/>
              </w:rPr>
              <w:br/>
              <w:t xml:space="preserve">         - Bộ Tư pháp (Cục KTVB và TCTHPL);</w:t>
            </w:r>
            <w:r>
              <w:br/>
            </w:r>
            <w:r>
              <w:rPr>
                <w:b w:val="0"/>
                <w:i w:val="0"/>
              </w:rPr>
              <w:br/>
              <w:t xml:space="preserve">         - Bộ Tài chính;</w:t>
            </w:r>
            <w:r>
              <w:rPr>
                <w:b w:val="0"/>
                <w:i w:val="0"/>
              </w:rPr>
              <w:br/>
            </w:r>
            <w:r>
              <w:rPr>
                <w:b w:val="0"/>
                <w:i w:val="0"/>
              </w:rPr>
              <w:t>- Kiểm toán Nhà nước khu vực V;</w:t>
            </w:r>
            <w:r>
              <w:rPr>
                <w:b w:val="0"/>
                <w:i w:val="0"/>
              </w:rPr>
              <w:br/>
            </w:r>
            <w:r>
              <w:rPr>
                <w:b w:val="0"/>
                <w:i w:val="0"/>
              </w:rPr>
              <w:t>- Thường trực Tỉnh ủy;</w:t>
            </w:r>
            <w:r>
              <w:rPr>
                <w:b w:val="0"/>
                <w:i w:val="0"/>
              </w:rPr>
              <w:br/>
            </w:r>
            <w:r>
              <w:rPr>
                <w:b w:val="0"/>
                <w:i w:val="0"/>
              </w:rPr>
              <w:t>- Đoàn đại biểu Quốc hội tỉnh;</w:t>
            </w:r>
            <w:r>
              <w:rPr>
                <w:b w:val="0"/>
                <w:i w:val="0"/>
              </w:rPr>
              <w:br/>
            </w:r>
            <w:r>
              <w:rPr>
                <w:b w:val="0"/>
                <w:i w:val="0"/>
              </w:rPr>
              <w:t>- Thường trực Hội đồng nhân dân tỉnh;</w:t>
            </w:r>
            <w:r>
              <w:br/>
            </w:r>
            <w:r>
              <w:rPr>
                <w:b w:val="0"/>
                <w:i w:val="0"/>
              </w:rPr>
              <w:br/>
              <w:t xml:space="preserve">         - Ủy ban nhân dân tỉnh;</w:t>
            </w:r>
            <w:r>
              <w:br/>
            </w:r>
            <w:r>
              <w:rPr>
                <w:b w:val="0"/>
                <w:i w:val="0"/>
              </w:rPr>
              <w:br/>
              <w:t xml:space="preserve">         - BTT. Ủy ban MTTQ Việt Nam tỉnh;</w:t>
            </w:r>
            <w:r>
              <w:br/>
            </w:r>
            <w:r>
              <w:rPr>
                <w:b w:val="0"/>
                <w:i w:val="0"/>
              </w:rPr>
              <w:br/>
              <w:t xml:space="preserve">         - Đại biểu HĐND tỉnh;</w:t>
            </w:r>
            <w:r>
              <w:br/>
            </w:r>
            <w:r>
              <w:rPr>
                <w:b w:val="0"/>
                <w:i w:val="0"/>
              </w:rPr>
              <w:br/>
              <w:t xml:space="preserve">         - Các sở, ban, ngành cấp tỉnh;</w:t>
            </w:r>
            <w:r>
              <w:rPr>
                <w:b w:val="0"/>
                <w:i w:val="0"/>
              </w:rPr>
              <w:br/>
            </w:r>
            <w:r>
              <w:rPr>
                <w:b w:val="0"/>
                <w:i w:val="0"/>
              </w:rPr>
              <w:t>- Các tổ chức chính trị - xã hội cấp tỉnh;</w:t>
            </w:r>
            <w:r>
              <w:br/>
            </w:r>
            <w:r>
              <w:rPr>
                <w:b w:val="0"/>
                <w:i w:val="0"/>
              </w:rPr>
              <w:br/>
              <w:t xml:space="preserve">         - TT. HĐND, UBND các xã, phường;</w:t>
            </w:r>
            <w:r>
              <w:br/>
            </w:r>
            <w:r>
              <w:rPr>
                <w:b w:val="0"/>
                <w:i w:val="0"/>
              </w:rPr>
              <w:br/>
              <w:t xml:space="preserve">         - Cổng Thông tin điện tử tỉnh (đăng Công báo);</w:t>
            </w:r>
            <w:r>
              <w:br/>
            </w:r>
            <w:r>
              <w:rPr>
                <w:b w:val="0"/>
                <w:i w:val="0"/>
              </w:rPr>
              <w:br/>
              <w:t xml:space="preserve">         - Lưu: VT.</w:t>
            </w:r>
          </w:p>
        </w:tc>
        <w:tc>
          <w:tcPr>
            <w:tcW w:type="dxa" w:w="4320"/>
          </w:tcPr>
          <w:p>
            <w:r>
              <w:rPr>
                <w:b w:val="0"/>
                <w:i w:val="0"/>
              </w:rPr>
              <w:br/>
            </w:r>
            <w:r>
              <w:rPr>
                <w:b/>
                <w:i w:val="0"/>
              </w:rPr>
              <w:t>CHỦ TỊCH</w:t>
            </w:r>
            <w:r>
              <w:br/>
            </w:r>
            <w:r>
              <w:br/>
            </w:r>
            <w:r>
              <w:br/>
            </w:r>
            <w:r>
              <w:br/>
            </w:r>
            <w:r>
              <w:rPr>
                <w:b w:val="0"/>
                <w:i w:val="0"/>
              </w:rPr>
              <w:br/>
            </w:r>
            <w:r>
              <w:rPr>
                <w:b w:val="0"/>
                <w:i w:val="0"/>
              </w:rPr>
              <w:t xml:space="preserve"> </w:t>
            </w:r>
            <w:r>
              <w:rPr>
                <w:b w:val="0"/>
                <w:i w:val="0"/>
              </w:rPr>
              <w:br/>
            </w:r>
            <w:r>
              <w:rPr>
                <w:b w:val="0"/>
                <w:i w:val="0"/>
              </w:rPr>
              <w:t xml:space="preserve"> </w:t>
            </w:r>
            <w:r>
              <w:rPr>
                <w:b w:val="0"/>
                <w:i w:val="0"/>
              </w:rPr>
              <w:br/>
            </w:r>
            <w:r>
              <w:rPr>
                <w:b/>
                <w:i w:val="0"/>
              </w:rPr>
              <w:t>Phạm Văn Thiều</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