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28/2026/NĐ-CP Quy định các danh mục chất ma túy và tiền chất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 xml:space="preserve">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 xml:space="preserve">                           </w:t>
            </w:r>
            <w:r>
              <w:br/>
            </w:r>
          </w:p>
        </w:tc>
      </w:tr>
    </w:tbl>
    <w:p>
      <w:r>
        <w:rPr>
          <w:b/>
          <w:i w:val="0"/>
        </w:rPr>
        <w:t>NGHỊ ĐỊNH</w:t>
      </w:r>
    </w:p>
    <w:p>
      <w:r>
        <w:rPr>
          <w:b/>
          <w:i w:val="0"/>
        </w:rPr>
        <w:t>Quy định các danh mục chất ma túy và tiền chất</w:t>
      </w:r>
    </w:p>
    <w:p>
      <w:r>
        <w:rPr>
          <w:b w:val="0"/>
          <w:i/>
        </w:rPr>
        <w:t>Căn cứ Luật Tổ chức Chính phủ số 63/2025/QH15;</w:t>
      </w:r>
    </w:p>
    <w:p>
      <w:r>
        <w:rPr>
          <w:b w:val="0"/>
          <w:i/>
        </w:rPr>
        <w:t>Căn cứ Luật Phòng, chống ma túy số 73/2021/QH14;</w:t>
      </w:r>
    </w:p>
    <w:p>
      <w:r>
        <w:rPr>
          <w:b w:val="0"/>
          <w:i/>
        </w:rPr>
        <w:t>Căn cứ Bộ luật Hình sự số 100/2015/QH13 được sửa đổi, bổ sung bởi Luật số 12/2017/QH14 và Luật số 86/2025/QH15;</w:t>
      </w:r>
    </w:p>
    <w:p>
      <w:r>
        <w:rPr>
          <w:b w:val="0"/>
          <w:i/>
        </w:rPr>
        <w:t>Căn cứ Luật Hóa chất số 69/2025/QH15;</w:t>
      </w:r>
    </w:p>
    <w:p>
      <w:r>
        <w:rPr>
          <w:b w:val="0"/>
          <w:i/>
        </w:rPr>
        <w:t>Căn cứ Luật Dược số 105/2016/QH13 được sửa đổi, bổ sung bởi Luật số 44/2024/QH15;</w:t>
      </w:r>
    </w:p>
    <w:p>
      <w:r>
        <w:rPr>
          <w:b w:val="0"/>
          <w:i/>
        </w:rPr>
        <w:t>Theo đề nghị của Bộ trưởng Bộ Công an;</w:t>
      </w:r>
    </w:p>
    <w:p>
      <w:r>
        <w:rPr>
          <w:b w:val="0"/>
          <w:i/>
        </w:rPr>
        <w:t>Chính phủ ban hành Nghị định quy định các danh mục chất ma túy và tiền chất.</w:t>
      </w:r>
    </w:p>
    <w:p>
      <w:r>
        <w:rPr>
          <w:b/>
          <w:i w:val="0"/>
        </w:rPr>
        <w:t>Điều 1. Danh mục chất ma túy và tiền chất</w:t>
      </w:r>
    </w:p>
    <w:p>
      <w:r>
        <w:rPr>
          <w:b w:val="0"/>
          <w:i w:val="0"/>
        </w:rPr>
        <w:t>Ban hành kèm theo Nghị định này Phụ lục các danh mục chất ma túy và tiền chất sau đây:</w:t>
      </w:r>
    </w:p>
    <w:p>
      <w:r>
        <w:rPr>
          <w:b w:val="0"/>
          <w:i w:val="0"/>
        </w:rPr>
        <w:t>Danh mục I: 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p>
      <w:r>
        <w:rPr>
          <w:b w:val="0"/>
          <w:i w:val="0"/>
        </w:rPr>
        <w:t>IA. Các chất gây nghiện và muối, đồng phân, ester, ether và muối của các đồng phân, ester, ether có thể tồn tại của các chất sau (trừ khi ester, ether của chất đó nằm trong danh mục khác);</w:t>
      </w:r>
    </w:p>
    <w:p>
      <w:r>
        <w:rPr>
          <w:b w:val="0"/>
          <w:i w:val="0"/>
        </w:rPr>
        <w:t>IB. Các chất hướng thần và muối, đồng phân, muối của đồng phân có thể tồn tại của các chất sau.</w:t>
      </w:r>
    </w:p>
    <w:p>
      <w:r>
        <w:rPr>
          <w:b w:val="0"/>
          <w:i w:val="0"/>
        </w:rPr>
        <w:t>Danh mục II: Các chất ma túy được sử dụng hạn chế trong nghiên cứu, kiểm nghiệm, giám định, vì mục đích quốc phòng, an ninh hoặc trong lĩnh vực y tế theo quy định của cơ quan có thẩm quyền:</w:t>
      </w:r>
    </w:p>
    <w:p>
      <w:r>
        <w:rPr>
          <w:b w:val="0"/>
          <w:i w:val="0"/>
        </w:rPr>
        <w:t>IIA. Các chất gây nghiện và muối, đồng phân, ester, ether, muối của các đồng phân, ester, ether có thể tồn tại của các chất sau (trừ khi ester, ether của chất đó nằm trong danh mục khác);</w:t>
      </w:r>
    </w:p>
    <w:p>
      <w:r>
        <w:rPr>
          <w:b w:val="0"/>
          <w:i w:val="0"/>
        </w:rPr>
        <w:t>IIB. Các chất hướng thần và muối, đồng phân, muối của đồng phân có thể tồn tại của các chất sau.</w:t>
      </w:r>
    </w:p>
    <w:p>
      <w:r>
        <w:rPr>
          <w:b w:val="0"/>
          <w:i w:val="0"/>
        </w:rPr>
        <w:t>Danh mục III: Các chất ma túy được sử dụng trong nghiên cứu, kiểm nghiệm, giám định, vì mục đích quốc phòng, an ninh hoặc trong lĩnh vực y tế, thú y theo quy định của cơ quan có thẩm quyền:</w:t>
      </w:r>
    </w:p>
    <w:p>
      <w:r>
        <w:rPr>
          <w:b w:val="0"/>
          <w:i w:val="0"/>
        </w:rPr>
        <w:t>Các chất hướng thần và muối, đồng phân, muối của đồng phân có thể tồn tại của các chất sau.</w:t>
      </w:r>
    </w:p>
    <w:p>
      <w:r>
        <w:rPr>
          <w:b w:val="0"/>
          <w:i w:val="0"/>
        </w:rPr>
        <w:t>Danh mục IV: Các tiền chất:</w:t>
      </w:r>
    </w:p>
    <w:p>
      <w:r>
        <w:rPr>
          <w:b w:val="0"/>
          <w:i w:val="0"/>
        </w:rP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r>
        <w:rPr>
          <w:b w:val="0"/>
          <w:i w:val="0"/>
        </w:rPr>
        <w:t>IVB: Các tiền chất thiết yếu, tham gia vào cấu trúc chất ma túy, có ứng dụng hợp pháp trong y học và đời sống xã hội;</w:t>
      </w:r>
    </w:p>
    <w:p>
      <w:r>
        <w:rPr>
          <w:b w:val="0"/>
          <w:i w:val="0"/>
        </w:rPr>
        <w:t>IVC: Các tiền chất là hóa chất, dung môi, chất xúc tác dùng trong quá trình sản xuất chất ma túy.</w:t>
      </w:r>
    </w:p>
    <w:p>
      <w:r>
        <w:rPr>
          <w:b/>
          <w:i w:val="0"/>
        </w:rPr>
        <w:t>Điều 2. Trách nhiệm quản lý</w:t>
      </w:r>
    </w:p>
    <w:p>
      <w:r>
        <w:rPr>
          <w:b w:val="0"/>
          <w:i w:val="0"/>
        </w:rPr>
        <w:t>1. Bộ Công an có trách nhiệm quản lý nhà nước các chất ma túy, tiền chất phục vụ nghiên cứu, kiểm nghiệm, giám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 và vì mục đích quốc phòng, an ninh.</w:t>
      </w:r>
    </w:p>
    <w:p>
      <w:r>
        <w:rPr>
          <w:b w:val="0"/>
          <w:i w:val="0"/>
        </w:rPr>
        <w:t>2. Bộ Công Thương có trách nhiệm quản lý nhà nước về các tiền chất sử dụng trong lĩnh vực công nghiệp.</w:t>
      </w:r>
    </w:p>
    <w:p>
      <w:r>
        <w:rPr>
          <w:b w:val="0"/>
          <w:i w:val="0"/>
        </w:rPr>
        <w:t>3. Bộ Y tế có trách nhiệm ban hành danh mục và quản lý nhà nước về các chất ma túy, tiền chất được sử dụng trong lĩnh vực y tế.</w:t>
      </w:r>
    </w:p>
    <w:p>
      <w:r>
        <w:rPr>
          <w:b w:val="0"/>
          <w:i w:val="0"/>
        </w:rPr>
        <w:t>4. Bộ Nông nghiệp và Môi trường có trách nhiệm ban hành danh mục và quản lý nhà nước các chất ma túy, tiền chất được sử dụng trong lĩnh vực nông nghiệp và môi trường.</w:t>
      </w:r>
    </w:p>
    <w:p>
      <w:r>
        <w:rPr>
          <w:b w:val="0"/>
          <w:i w:val="0"/>
        </w:rPr>
        <w:t>5. Bộ Quốc phòng có trách nhiệm quản lý nhà nước về các tiền chất được sử dụng trong lĩnh vực quốc phòng.</w:t>
      </w:r>
    </w:p>
    <w:p>
      <w:r>
        <w:rPr>
          <w:b/>
          <w:i w:val="0"/>
        </w:rPr>
        <w:t>Điều 3. Hiệu lực thi hành và tổ chức thực hiện</w:t>
      </w:r>
    </w:p>
    <w:p>
      <w:r>
        <w:rPr>
          <w:b w:val="0"/>
          <w:i w:val="0"/>
        </w:rPr>
        <w:t>1. Nghị định này có hiệu lực thi hành từ ngày 19 tháng 01 năm 2026.</w:t>
      </w:r>
    </w:p>
    <w:p>
      <w:r>
        <w:rPr>
          <w:b w:val="0"/>
          <w:i w:val="0"/>
        </w:rPr>
        <w:t>2. Nghị định số 57/2022/NĐ-CP ngày 25 tháng 8 năm 2022 của Chính phủ quy định các danh mục chất ma túy và tiền chất; Nghị định số 90/2024/NĐ-CP ngày 17 tháng 7 năm 2024 sửa đổi, bổ sung danh mục chất ma túy và tiền chất ban hành kèm theo Nghị định số 57/2022/NĐ-CP ngày 25 tháng 8 năm 2022 của Chính phủ quy định các danh mục chất ma túy và tiền chất hết hiệu lực kể từ ngày Nghị định này có hiệu lực thi hành.</w:t>
      </w:r>
    </w:p>
    <w:p>
      <w:r>
        <w:rPr>
          <w:b w:val="0"/>
          <w:i w:val="0"/>
        </w:rPr>
        <w:t xml:space="preserve">3. Các tổ chức, cá nhân sản xuất, kinh doanh hợp pháp </w:t>
      </w:r>
      <w:r>
        <w:rPr>
          <w:b/>
          <w:i/>
        </w:rPr>
        <w:t>Carisoprodol, Etomidate</w:t>
      </w:r>
      <w:r>
        <w:rPr>
          <w:b w:val="0"/>
          <w:i w:val="0"/>
        </w:rPr>
        <w:t xml:space="preserve"> thực hiện các quy định về quản lý chất ma túy theo Nghị định này và các văn bản có liên quan kể từ ngày 01 tháng 6 năm 2026.</w:t>
      </w:r>
    </w:p>
    <w:p>
      <w:r>
        <w:rPr>
          <w:b w:val="0"/>
          <w:i w:val="0"/>
        </w:rPr>
        <w:t xml:space="preserve">4. Các tổ chức, cá nhân sản xuất, kinh doanh hợp pháp </w:t>
      </w:r>
      <w:r>
        <w:rPr>
          <w:b/>
          <w:i/>
        </w:rPr>
        <w:t>1,4-Butanediol</w:t>
      </w:r>
      <w:r>
        <w:rPr>
          <w:b w:val="0"/>
          <w:i w:val="0"/>
        </w:rPr>
        <w:t xml:space="preserve"> thực hiện các quy định về quản lý tiền chất theo Nghị định này và các văn bản có liên quan trước ngày 31 tháng 12 năm 2026.</w:t>
      </w:r>
    </w:p>
    <w:p>
      <w:r>
        <w:rPr>
          <w:b w:val="0"/>
          <w:i w:val="0"/>
        </w:rPr>
        <w:t>5.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
        <w:rPr>
          <w:b w:val="0"/>
          <w:i w:val="0"/>
        </w:rPr>
        <w:t>6. Khi phát hiện chất mới chưa có trong các danh mục chất ma túy và tiền chất ban hành kèm theo Nghị định này liên quan đến mục đích bất hợp pháp hoặc theo quy định tại ba Công ước của Liên hợp quốc về phòng, chống ma túy thì Bộ Công an có trách nhiệm chủ trì, phối hợp với Bộ Y tế, Bộ Công Thương, Bộ Khoa học và Công nghệ, Bộ Nông nghiệp và Môi trường, Bộ Quốc phòng và các cơ quan có liên quan xem xét, trình Chính phủ sửa đổi, bổ sung và công bố các danh mục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KGVX (2).</w:t>
            </w:r>
          </w:p>
        </w:tc>
        <w:tc>
          <w:tcPr>
            <w:tcW w:type="dxa" w:w="4320"/>
          </w:tcPr>
          <w:p>
            <w:r>
              <w:rPr>
                <w:b w:val="0"/>
                <w:i w:val="0"/>
              </w:rPr>
              <w:br/>
            </w:r>
            <w:r>
              <w:rPr>
                <w:b w:val="0"/>
                <w:i w:val="0"/>
              </w:rPr>
              <w:br/>
            </w:r>
            <w:r>
              <w:rPr>
                <w:b/>
                <w:i w:val="0"/>
              </w:rPr>
              <w:t>TM. CHÍNH PHỦ</w:t>
            </w:r>
            <w:r>
              <w:br/>
            </w:r>
            <w:r>
              <w:rPr>
                <w:b/>
                <w:i w:val="0"/>
              </w:rPr>
              <w:t>THỦ TƯỚNG</w:t>
            </w:r>
            <w:r>
              <w:br/>
            </w:r>
            <w:r>
              <w:br/>
            </w:r>
            <w:r>
              <w:br/>
            </w:r>
            <w:r>
              <w:rPr>
                <w:b/>
                <w:i w:val="0"/>
              </w:rPr>
              <w:t>Phạm Minh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