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34/2022/NQ-HĐND Quy định mức hỗ trợ đối với trẻ em mầm non là con công nhân, người lao động làm việc tại khu công nghiệp; giáo viên mầm non làm việc tại cơ sở giáo dục mầm non dân lập, tư thục và cơ sở giáo dục mầm non độc lập dân lập, tư thục ở địa bàn có khu côn nghiệp trên địa bàn tỉnh Bình Định</w:t>
      </w:r>
    </w:p>
    <w:p>
      <w:r>
        <w:rPr>
          <w:b w:val="0"/>
          <w:i w:val="0"/>
        </w:rPr>
        <w:br/>
      </w:r>
      <w:r>
        <w:rPr>
          <w:b w:val="0"/>
          <w:i w:val="0"/>
        </w:rPr>
        <w:br/>
      </w:r>
      <w:r>
        <w:rPr>
          <w:b/>
          <w:i w:val="0"/>
        </w:rPr>
        <w:t>HỘI ĐỒNG NHÂN DÂN</w:t>
      </w:r>
      <w:r>
        <w:br/>
      </w:r>
      <w:r>
        <w:rPr>
          <w:b/>
          <w:i w:val="0"/>
        </w:rPr>
        <w:br/>
        <w:t xml:space="preserve">        TỈNH BÌNH ĐỊNH</w:t>
      </w:r>
      <w:r>
        <w:rPr>
          <w:b w:val="0"/>
          <w:i w:val="0"/>
        </w:rPr>
        <w:br/>
      </w:r>
      <w:r>
        <w:rPr>
          <w:b/>
          <w:i w:val="0"/>
        </w:rPr>
        <w:t>________________</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________________</w:t>
      </w:r>
      <w:r>
        <w:rPr>
          <w:b w:val="0"/>
          <w:i w:val="0"/>
        </w:rPr>
        <w:br/>
      </w:r>
      <w:r>
        <w:rPr>
          <w:b w:val="0"/>
          <w:i w:val="0"/>
        </w:rPr>
        <w:br/>
      </w:r>
    </w:p>
    <w:p>
      <w:r>
        <w:rPr>
          <w:b w:val="0"/>
          <w:i w:val="0"/>
        </w:rPr>
        <w:br/>
      </w:r>
      <w:r>
        <w:rPr>
          <w:b/>
          <w:i w:val="0"/>
        </w:rPr>
        <w:t>HỘI ĐỒNG NHÂN DÂN</w:t>
      </w:r>
      <w:r>
        <w:br/>
      </w:r>
      <w:r>
        <w:rPr>
          <w:b/>
          <w:i w:val="0"/>
        </w:rPr>
        <w:br/>
        <w:t xml:space="preserve">        TỈNH BÌNH ĐỊNH</w:t>
      </w:r>
      <w:r>
        <w:rPr>
          <w:b w:val="0"/>
          <w:i w:val="0"/>
        </w:rPr>
        <w:br/>
      </w:r>
      <w:r>
        <w:rPr>
          <w:b/>
          <w:i w:val="0"/>
        </w:rPr>
        <w:t>________________</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________________</w:t>
      </w:r>
      <w:r>
        <w:rPr>
          <w:b w:val="0"/>
          <w:i w:val="0"/>
        </w:rPr>
        <w:br/>
      </w:r>
    </w:p>
    <w:p>
      <w:r>
        <w:rPr>
          <w:b w:val="0"/>
          <w:i w:val="0"/>
        </w:rPr>
        <w:br/>
      </w:r>
      <w:r>
        <w:rPr>
          <w:b w:val="0"/>
          <w:i w:val="0"/>
        </w:rPr>
        <w:br/>
      </w:r>
      <w:r>
        <w:rPr>
          <w:b w:val="0"/>
          <w:i w:val="0"/>
        </w:rPr>
        <w:t>Số: 34/2022/NQ-HĐND</w:t>
      </w:r>
      <w:r>
        <w:rPr>
          <w:b w:val="0"/>
          <w:i w:val="0"/>
        </w:rPr>
        <w:br/>
      </w:r>
      <w:r>
        <w:rPr>
          <w:b w:val="0"/>
          <w:i w:val="0"/>
        </w:rPr>
        <w:br/>
      </w:r>
      <w:r>
        <w:rPr>
          <w:b w:val="0"/>
          <w:i w:val="0"/>
        </w:rPr>
        <w:br/>
      </w:r>
      <w:r>
        <w:rPr>
          <w:b w:val="0"/>
          <w:i/>
        </w:rPr>
        <w:t>Bình Định, ngày 10 tháng 12 năm 2022</w:t>
      </w:r>
      <w:r>
        <w:rPr>
          <w:b w:val="0"/>
          <w:i w:val="0"/>
        </w:rPr>
        <w:br/>
      </w:r>
      <w:r>
        <w:rPr>
          <w:b w:val="0"/>
          <w:i w:val="0"/>
        </w:rPr>
        <w:br/>
      </w:r>
    </w:p>
    <w:p>
      <w:r>
        <w:rPr>
          <w:b w:val="0"/>
          <w:i w:val="0"/>
        </w:rPr>
        <w:br/>
      </w:r>
      <w:r>
        <w:rPr>
          <w:b w:val="0"/>
          <w:i w:val="0"/>
        </w:rPr>
        <w:t>Số: 34/2022/NQ-HĐND</w:t>
      </w:r>
      <w:r>
        <w:rPr>
          <w:b w:val="0"/>
          <w:i w:val="0"/>
        </w:rPr>
        <w:br/>
      </w:r>
    </w:p>
    <w:p>
      <w:r>
        <w:rPr>
          <w:b w:val="0"/>
          <w:i w:val="0"/>
        </w:rPr>
        <w:br/>
      </w:r>
      <w:r>
        <w:rPr>
          <w:b w:val="0"/>
          <w:i/>
        </w:rPr>
        <w:t>Bình Định, ngày 10 tháng 12 năm 2022</w:t>
      </w:r>
      <w:r>
        <w:rPr>
          <w:b w:val="0"/>
          <w:i w:val="0"/>
        </w:rPr>
        <w:br/>
      </w:r>
    </w:p>
    <w:p>
      <w:pPr>
        <w:jc w:val="center"/>
      </w:pPr>
      <w:r>
        <w:rPr>
          <w:b/>
          <w:i w:val="0"/>
        </w:rPr>
        <w:t>NGHỊ QUYẾT</w:t>
      </w:r>
    </w:p>
    <w:p>
      <w:pPr>
        <w:jc w:val="center"/>
      </w:pPr>
      <w:r>
        <w:rPr>
          <w:b/>
          <w:i w:val="0"/>
        </w:rPr>
        <w:t xml:space="preserve">Quy định mức hỗ trợ đối với trẻ em mầm non là con công nhân, người lao </w:t>
      </w:r>
    </w:p>
    <w:p>
      <w:pPr>
        <w:jc w:val="center"/>
      </w:pPr>
      <w:r>
        <w:rPr>
          <w:b/>
          <w:i w:val="0"/>
        </w:rPr>
        <w:t xml:space="preserve">động làm việc tại khu công nghiệp; giáo viên mầm non làm việc tại cơ sở </w:t>
      </w:r>
    </w:p>
    <w:p>
      <w:pPr>
        <w:jc w:val="center"/>
      </w:pPr>
      <w:r>
        <w:rPr>
          <w:b/>
          <w:i w:val="0"/>
        </w:rPr>
        <w:t xml:space="preserve">giáo dục mầm non dân lập, tư thục và cơ sở giáo dục mầm non độc lập dân </w:t>
      </w:r>
    </w:p>
    <w:p>
      <w:pPr>
        <w:jc w:val="center"/>
      </w:pPr>
      <w:r>
        <w:rPr>
          <w:b/>
          <w:i w:val="0"/>
        </w:rPr>
        <w:t>lập, tư thục ở địa bàn có khu công nghiệp trên địa bàn tỉnh Bình Định</w:t>
      </w:r>
    </w:p>
    <w:p>
      <w:pPr>
        <w:jc w:val="center"/>
      </w:pPr>
      <w:r>
        <w:rPr>
          <w:b/>
          <w:i w:val="0"/>
        </w:rPr>
        <w:t xml:space="preserve">HỘI ĐỒNG NHÂN DÂN TỈNH BÌNH </w:t>
      </w:r>
      <w:r>
        <w:br/>
      </w:r>
      <w:r>
        <w:rPr>
          <w:b/>
          <w:i w:val="0"/>
        </w:rPr>
        <w:br/>
        <w:t xml:space="preserve">      KHÓA XIII KỲ HỌP THỨ 9</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 105/2020/NĐ-CP ngày 08 tháng 9 năm 2020 của Chính phủ quy định chính sách phát triển giáo dục mầm non;</w:t>
      </w:r>
    </w:p>
    <w:p>
      <w:r>
        <w:rPr>
          <w:b w:val="0"/>
          <w:i/>
        </w:rPr>
        <w:t>Xét Tờ trình số 184/TTr-UBND ngày 03 tháng 12 năm 2022 của Ủy ban nhân dân tỉnh đề nghị Hội đồng nhân dân tỉnh ban hành Nghị quyết quy định mức hỗ trợ đối với trẻ em mầm non, giáo viên mầm non và cơ sở giáo dục mầm non độc lập dân lập, tự thục ở địa bàn có khu công nghiệp trên địa bàn tỉnh Bình Định; Báo cáo thẩm tra số 75/BC-VHXH ngày 05 tháng 12 năm 2022 của Ban Văn hóa - Xã hội Hội đồng nhân dân tỉnh; ý kiến thảo luận của đại biểu Hội đồng nhân dân tỉnh tại kỳ họp.</w:t>
      </w:r>
    </w:p>
    <w:p>
      <w:pPr>
        <w:jc w:val="center"/>
      </w:pPr>
      <w:r>
        <w:rPr>
          <w:b/>
          <w:i w:val="0"/>
        </w:rPr>
        <w:t>QUYẾT NGHỊ:</w:t>
      </w:r>
    </w:p>
    <w:p>
      <w:r>
        <w:rPr>
          <w:b/>
          <w:i w:val="0"/>
        </w:rPr>
        <w:t xml:space="preserve">Điều 1. </w:t>
      </w:r>
      <w:r>
        <w:rPr>
          <w:b w:val="0"/>
          <w:i w:val="0"/>
        </w:rPr>
        <w:t>Thống nhất thông qua Nghị quyết Quy định mức hỗ trợ đối với trẻ em mầm non là con công nhân, người lao động làm việc tại khu công nghiệp; giáo viên mầm non làm việc tại cơ sở giáo dục mầm non dân lập, tư thục và cơ sở giáo dục mầm non độc lập dân lập, tư thục ở địa bàn có khu công nghiệp trên địa bàn tỉnh Bình Định, cụ thể như sau:</w:t>
      </w:r>
    </w:p>
    <w:p>
      <w:r>
        <w:rPr>
          <w:b w:val="0"/>
          <w:i w:val="0"/>
        </w:rPr>
        <w:t>1. Phạm vi điều chỉnh</w:t>
      </w:r>
    </w:p>
    <w:p>
      <w:r>
        <w:rPr>
          <w:b w:val="0"/>
          <w:i w:val="0"/>
        </w:rPr>
        <w:t>Nghị quyết này quy định đối tượng và mức hỗ trợ đối với trẻ em mầm non là con công nhân, người lao động làm việc tại khu công nghiệp; giáo viên mầm non làm việc tại các cơ sở giáo dục mầm non dân lập, tư thục ở địa bàn có khu công nghiệp; cơ sở giáo dục mầm non độc lập dân lập, tư thục ở địa bàn có khu công nghiệp trên địa bàn tỉnh Bình Định.</w:t>
      </w:r>
    </w:p>
    <w:p>
      <w:r>
        <w:rPr>
          <w:b w:val="0"/>
          <w:i w:val="0"/>
        </w:rPr>
        <w:t>2. Đối tượng áp dụng</w:t>
      </w:r>
    </w:p>
    <w:p>
      <w:r>
        <w:rPr>
          <w:b w:val="0"/>
          <w:i w:val="0"/>
        </w:rPr>
        <w:t>a. Cơ sở giáo dục mầm non độc lập (nhóm trẻ độc lập, lớp mẫu giáo độc lập, lớp mầm non độc lập) ở địa bàn có khu công nghiệp thuộc loại hình dân lập, tư thục đã được cấp có thẩm quyền cấp phép thành lập theo đúng quy định, có từ 30% trẻ em là con công nhân, người lao động làm việc tại khu công nghiệp.</w:t>
      </w:r>
    </w:p>
    <w:p>
      <w:r>
        <w:rPr>
          <w:b w:val="0"/>
          <w:i w:val="0"/>
        </w:rPr>
        <w:t>b. Trẻ em đang học tại các cơ sở giáo dục mầm non thuộc loại hình dân lập, tư thục đã được cơ quan có thẩm quyền cấp phép thành lập và hoạt động theo đúng quy định có cha hoặc mẹ hoặc người chăm sóc, nuôi dưỡng là công nhân, người lao động đang làm việc tại các khu công nghiệp được doanh nghiệp ký hợp đồng lao động theo quy định.</w:t>
      </w:r>
    </w:p>
    <w:p>
      <w:r>
        <w:rPr>
          <w:b w:val="0"/>
          <w:i w:val="0"/>
        </w:rPr>
        <w:t>c. Giáo viên mầm non đang làm việc tại cơ sở giáo dục mầm non thuộc loại hình dân lập, tư thục đã được cơ quan có thẩm quyền cấp phép thành lập và hoạt động theo đúng quy định ở địa bàn có khu công nghiệp, bảo đảm những điều kiện sau:</w:t>
      </w:r>
    </w:p>
    <w:p>
      <w:r>
        <w:rPr>
          <w:b w:val="0"/>
          <w:i w:val="0"/>
        </w:rPr>
        <w:t>- Có trình độ chuẩn đào tạo chức danh giáo viên mầm non theo quy định;</w:t>
      </w:r>
    </w:p>
    <w:p>
      <w:r>
        <w:rPr>
          <w:b w:val="0"/>
          <w:i w:val="0"/>
        </w:rPr>
        <w:t>- Có hợp đồng lao động với người đại diện theo pháp luật của cơ sở giáo dục mầm non dân lập, tư thục;</w:t>
      </w:r>
    </w:p>
    <w:p>
      <w:r>
        <w:rPr>
          <w:b w:val="0"/>
          <w:i w:val="0"/>
        </w:rPr>
        <w:t>- Trực tiếp chăm sóc, giáo dục trẻ tại nhóm trẻ/lớp mẫu giáo có từ 30% trẻ em là con công nhân, người lao động làm việc tại khu công nghiệp.</w:t>
      </w:r>
    </w:p>
    <w:p>
      <w:r>
        <w:rPr>
          <w:b w:val="0"/>
          <w:i w:val="0"/>
        </w:rPr>
        <w:t>3. Mức hỗ trợ</w:t>
      </w:r>
    </w:p>
    <w:p>
      <w:r>
        <w:rPr>
          <w:b w:val="0"/>
          <w:i w:val="0"/>
        </w:rPr>
        <w:t>a. Cơ sở giáo dục mầm non độc lập dân lập, tư thục được hỗ trợ trang bị cơ sở vật chất 01 lần, bao gồm: Trang bị đồ dùng, đồ chơi, thiết bị dạy học theo danh mục quy định của Bộ Giáo dục và Đào tạo và sửa chữa cơ sở vật chất để phục vụ trực tiếp cho việc chăm sóc, nuôi dưỡng, giáo dục trẻ em; mức hỗ trợ là 20.000.000 đồng/cơ sở (Hai mươi triệu đồng).</w:t>
      </w:r>
    </w:p>
    <w:p>
      <w:r>
        <w:rPr>
          <w:b w:val="0"/>
          <w:i w:val="0"/>
        </w:rPr>
        <w:t>b. Trẻ em mầm non được hỗ trợ 300.000 đồng/trẻ/tháng (Ba trăm nghìn đồng). Thời gian hỗ trợ tính theo số tháng học thực tế, nhưng không quá 9 tháng/năm học.</w:t>
      </w:r>
    </w:p>
    <w:p>
      <w:r>
        <w:rPr>
          <w:b w:val="0"/>
          <w:i w:val="0"/>
        </w:rPr>
        <w:t>c. Giáo viên mầm non được hỗ trợ 800.000 đồng/tháng (Tám trăm ngàn đồng). Số lượng giáo viên trong cơ sở giáo dục mầm non dân lập, tư thục được hưởng hỗ trợ được tính theo định mức quy định đối với các cơ sở giáo dục mầm non công lập hiện hành.</w:t>
      </w:r>
    </w:p>
    <w:p>
      <w:r>
        <w:rPr>
          <w:b w:val="0"/>
          <w:i w:val="0"/>
        </w:rPr>
        <w:t>Thời gian hưởng hỗ trợ tính theo số tháng dạy thực tế trong năm học nhưng không quá 9 tháng/năm học.</w:t>
      </w:r>
    </w:p>
    <w:p>
      <w:r>
        <w:rPr>
          <w:b w:val="0"/>
          <w:i w:val="0"/>
        </w:rPr>
        <w:t>Mức hỗ trợ này nằm ngoài mức lương thỏa thuận giữa chủ cơ sở giáo dục mầm non dân lập, tư thục với giáo viên và không dùng tính đóng hưởng bảo hiểm xã hội, bảo hiểm y tế và bảo hiểm thất nghiệp.</w:t>
      </w:r>
    </w:p>
    <w:p>
      <w:r>
        <w:rPr>
          <w:b w:val="0"/>
          <w:i w:val="0"/>
        </w:rPr>
        <w:t>4. Nguồn kinh phí thực hiện: Từ nguồn ngân sách nhà nước, được giao trong dự toán hằng năm cho ngành giáo dục đào tạo theo phân cấp của Luật Ngân sách nhà nước hiện hành.</w:t>
      </w:r>
    </w:p>
    <w:p>
      <w:r>
        <w:rPr>
          <w:b/>
          <w:i w:val="0"/>
        </w:rPr>
        <w:t xml:space="preserve">Điều 2. </w:t>
      </w:r>
      <w:r>
        <w:rPr>
          <w:b w:val="0"/>
          <w:i w:val="0"/>
        </w:rPr>
        <w:t>Ủy ban nhân dân tỉnh có trách nhiệm tổ chức triển khai thực hiện Nghị quyết.</w:t>
      </w:r>
    </w:p>
    <w:p>
      <w:r>
        <w:rPr>
          <w:b/>
          <w:i w:val="0"/>
        </w:rPr>
        <w:t>Điều 3.</w:t>
      </w:r>
      <w:r>
        <w:rPr>
          <w:b w:val="0"/>
          <w:i w:val="0"/>
        </w:rPr>
        <w:t xml:space="preserve"> Thường trực Hội đồng nhân dân tỉnh, các Ban của Hội đồng nhân dân tỉnh, Tổ đại biểu Hội đồng nhân dân tỉnh và đại biểu Hội đồng nhân dân tỉnh kiểm tra, giám sát việc thực hiện Nghị quyết.</w:t>
      </w:r>
    </w:p>
    <w:p>
      <w:r>
        <w:rPr>
          <w:b w:val="0"/>
          <w:i w:val="0"/>
        </w:rPr>
        <w:t>Nghị quyết này được Hội đồng nhân dân tỉnh Bình Định Khóa XIII Kỳ họp thứ 9 thông qua ngày 10 tháng 12 năm 2022 và có hiệu lực thi hành từ ngày 20 tháng 12 năm 2022./.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 xml:space="preserve">Hồ Quốc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