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61/2026/QĐ-UBND Quy định chính sách ưu đãi tiền thuê nhà cho các đối tượng ưu tiên trên địa bàn tỉnh Đồng Tháp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i w:val="0"/>
              </w:rPr>
              <w:t>TỈNH ĐỒNG THÁP</w:t>
            </w:r>
            <w:r>
              <w:rPr>
                <w:b w:val="0"/>
                <w:i w:val="0"/>
              </w:rPr>
              <w:br/>
            </w:r>
            <w:r>
              <w:rPr>
                <w:b w:val="0"/>
                <w:i w:val="0"/>
              </w:rPr>
              <w:t>Số: 61/2026/QĐ-UBND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Đồng Tháp, ngày 21 tháng 5 năm 2026</w:t>
            </w:r>
          </w:p>
        </w:tc>
      </w:tr>
    </w:tbl>
    <w:p>
      <w:pPr>
        <w:jc w:val="center"/>
      </w:pPr>
      <w:r>
        <w:rPr>
          <w:b/>
          <w:i w:val="0"/>
        </w:rPr>
        <w:t>QUYẾT ĐỊNH</w:t>
      </w:r>
    </w:p>
    <w:p>
      <w:pPr>
        <w:jc w:val="center"/>
      </w:pPr>
      <w:r>
        <w:rPr>
          <w:b/>
          <w:i w:val="0"/>
        </w:rPr>
        <w:t xml:space="preserve">Quy định chính sách ưu đãi tiền thuê nhà cho các đối tượng ưu tiên </w:t>
      </w:r>
    </w:p>
    <w:p>
      <w:pPr>
        <w:jc w:val="center"/>
      </w:pPr>
      <w:r>
        <w:rPr>
          <w:b/>
          <w:i w:val="0"/>
        </w:rPr>
        <w:t>trên địa bàn tỉnh Đồng Tháp</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 xml:space="preserve">Căn cứ </w:t>
      </w:r>
      <w:r>
        <w:rPr>
          <w:b w:val="0"/>
          <w:i/>
        </w:rPr>
        <w:t>Luật Quản lý, sử dụng tài sản công</w:t>
      </w:r>
      <w:r>
        <w:rPr>
          <w:b w:val="0"/>
          <w:i/>
        </w:rPr>
        <w:t xml:space="preserve"> số 15/2017/QH14 đã được sửa đổi, bổ sung một số điều theo Luật số </w:t>
      </w:r>
      <w:r>
        <w:rPr>
          <w:b w:val="0"/>
          <w:i/>
        </w:rPr>
        <w:t>64/2020/QH14</w:t>
      </w:r>
      <w:r>
        <w:rPr>
          <w:b w:val="0"/>
          <w:i/>
        </w:rPr>
        <w:t xml:space="preserve">, Luật số </w:t>
      </w:r>
      <w:r>
        <w:rPr>
          <w:b w:val="0"/>
          <w:i/>
        </w:rPr>
        <w:t>07/2022/QH15</w:t>
      </w:r>
      <w:r>
        <w:rPr>
          <w:b w:val="0"/>
          <w:i/>
        </w:rPr>
        <w:t xml:space="preserve">, Luật số </w:t>
      </w:r>
      <w:r>
        <w:rPr>
          <w:b w:val="0"/>
          <w:i/>
        </w:rPr>
        <w:t>24/2023/QH15</w:t>
      </w:r>
      <w:r>
        <w:rPr>
          <w:b w:val="0"/>
          <w:i/>
        </w:rPr>
        <w:t xml:space="preserve">, Luật số </w:t>
      </w:r>
      <w:r>
        <w:rPr>
          <w:b w:val="0"/>
          <w:i/>
        </w:rPr>
        <w:t>31/2024/QH15</w:t>
      </w:r>
      <w:r>
        <w:rPr>
          <w:b w:val="0"/>
          <w:i/>
        </w:rPr>
        <w:t xml:space="preserve">, Luật số </w:t>
      </w:r>
      <w:r>
        <w:rPr>
          <w:b w:val="0"/>
          <w:i/>
        </w:rPr>
        <w:t>43/2024/QH15</w:t>
      </w:r>
      <w:r>
        <w:rPr>
          <w:b w:val="0"/>
          <w:i/>
        </w:rPr>
        <w:t xml:space="preserve">, Luật số </w:t>
      </w:r>
      <w:r>
        <w:rPr>
          <w:b w:val="0"/>
          <w:i/>
        </w:rPr>
        <w:t>56/2024/QH15</w:t>
      </w:r>
      <w:r>
        <w:rPr>
          <w:b w:val="0"/>
          <w:i/>
        </w:rPr>
        <w:t xml:space="preserve"> và Luật số </w:t>
      </w:r>
      <w:r>
        <w:rPr>
          <w:b w:val="0"/>
          <w:i/>
        </w:rPr>
        <w:t>90/2025/QH15</w:t>
      </w:r>
      <w:r>
        <w:rPr>
          <w:b w:val="0"/>
          <w:i/>
        </w:rPr>
        <w:t>;</w:t>
      </w:r>
    </w:p>
    <w:p>
      <w:pPr>
        <w:jc w:val="both"/>
      </w:pPr>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pPr>
        <w:jc w:val="both"/>
      </w:pPr>
      <w:r>
        <w:rPr>
          <w:b w:val="0"/>
          <w:i/>
        </w:rPr>
        <w:t>Căn cứ Nghị định số 108/2024/NĐ-CP của Chính phủ quy định việc quản lý, sử dụng và khai thác nhà, đất là tài sản công không sử dụng vào mục đích để ở giao cho tổ chức có chức năng quản lý, kinh doanh nhà địa phương quản lý, khai thác được sửa đổi, bổ sung bởi Nghị định số 286/2025/NĐ-CP;</w:t>
      </w:r>
    </w:p>
    <w:p>
      <w:pPr>
        <w:jc w:val="both"/>
      </w:pPr>
      <w:r>
        <w:rPr>
          <w:b w:val="0"/>
          <w:i/>
        </w:rPr>
        <w:t xml:space="preserve">Căn cứ Nghị định số 186/2025/NĐ-CP của Chính phủ quy định chi tiết một số điều của Luật Quản lý, sử dụng tài sản công; </w:t>
      </w:r>
    </w:p>
    <w:p>
      <w:pPr>
        <w:jc w:val="both"/>
      </w:pPr>
      <w:r>
        <w:rPr>
          <w:b w:val="0"/>
          <w:i/>
        </w:rPr>
        <w:t>Theo đề nghị của Giám đốc Sở Xây dựng tỉnh Đồng Tháp tại Tờ trình số 4550/TTr-VPUBND ngày 24/4/2026;</w:t>
      </w:r>
    </w:p>
    <w:p>
      <w:pPr>
        <w:jc w:val="both"/>
      </w:pPr>
      <w:r>
        <w:rPr>
          <w:b w:val="0"/>
          <w:i/>
        </w:rPr>
        <w:t>Ủy ban nhân dân ban hành Quyết định quy định chính sách ưu đãi tiền thuê nhà cho các đối tượng ưu tiên trên địa bàn tỉnh Đồng Tháp.</w:t>
      </w:r>
    </w:p>
    <w:p>
      <w:pPr>
        <w:jc w:val="both"/>
      </w:pPr>
      <w:r>
        <w:rPr>
          <w:b/>
          <w:i w:val="0"/>
        </w:rPr>
        <w:t>Điều 1. Phạm vi điều chỉnh</w:t>
      </w:r>
    </w:p>
    <w:p>
      <w:pPr>
        <w:jc w:val="both"/>
      </w:pPr>
      <w:r>
        <w:rPr>
          <w:b w:val="0"/>
          <w:i w:val="0"/>
        </w:rPr>
        <w:t>Quyết định này quy định chính sách ưu đãi (miễn, giảm) tiền thuê nhà cho các đối tượng ưu tiên trên địa bàn tỉnh Đồng Tháp theo quy định tại khoản 2 Điều 16 Nghị định số 108/2024/NĐ-CP quy định việc quản lý, sử dụng và khai thác nhà, đất là tài sản công không sử dụng vào mục đích để ở giao cho tổ chức có chức năng quản lý, kinh doanh nhà địa phương quản lý, khai thác</w:t>
      </w:r>
      <w:r>
        <w:rPr>
          <w:b w:val="0"/>
          <w:i/>
        </w:rPr>
        <w:t xml:space="preserve"> </w:t>
      </w:r>
      <w:r>
        <w:rPr>
          <w:b w:val="0"/>
          <w:i w:val="0"/>
        </w:rPr>
        <w:t>được sửa đổi, bổ sung bởi Nghị định số 286/2025/NĐ-CP.</w:t>
      </w:r>
    </w:p>
    <w:p>
      <w:pPr>
        <w:jc w:val="both"/>
      </w:pPr>
      <w:r>
        <w:rPr>
          <w:b/>
          <w:i w:val="0"/>
        </w:rPr>
        <w:t>Điều 2. Đối tượng áp dụng</w:t>
      </w:r>
    </w:p>
    <w:p>
      <w:pPr>
        <w:jc w:val="both"/>
      </w:pPr>
      <w:r>
        <w:rPr>
          <w:b w:val="0"/>
          <w:i w:val="0"/>
        </w:rPr>
        <w:t>1. Các đối tượng ưu tiên quy định tại điểm a khoản 2 Điều 10 Nghị định số 108/2024/NĐ-CP được sửa đổi, bổ sung bởi Nghị định 286/2025/NĐ-CP, bao gồm:</w:t>
      </w:r>
    </w:p>
    <w:p>
      <w:pPr>
        <w:jc w:val="both"/>
      </w:pPr>
      <w:r>
        <w:rPr>
          <w:b w:val="0"/>
          <w:i w:val="0"/>
        </w:rPr>
        <w:t>a) Tổ chức hội do Đảng, Nhà nước giao nhiệm vụ theo văn bản của cơ quan, người có thẩm quyền thuê để làm trụ sở làm việc trong trường hợp chưa có trụ sở làm việc;</w:t>
      </w:r>
    </w:p>
    <w:p>
      <w:pPr>
        <w:jc w:val="both"/>
      </w:pPr>
      <w:r>
        <w:rPr>
          <w:b w:val="0"/>
          <w:i w:val="0"/>
        </w:rPr>
        <w:t>b) 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pPr>
        <w:jc w:val="both"/>
      </w:pPr>
      <w:r>
        <w:rPr>
          <w:b w:val="0"/>
          <w:i w:val="0"/>
        </w:rPr>
        <w:t xml:space="preserve">c) Hợp tác xã, liên hiệp hợp tác xã, tổ hợp tác đáp ứng các tiêu chí để được thụ hưởng chính sách hỗ trợ của Nhà nước theo quy định tại </w:t>
      </w:r>
      <w:r>
        <w:rPr>
          <w:b w:val="0"/>
          <w:i w:val="0"/>
        </w:rPr>
        <w:t>Luật Hợp tác xã</w:t>
      </w:r>
      <w:r>
        <w:rPr>
          <w:b w:val="0"/>
          <w:i w:val="0"/>
        </w:rPr>
        <w:t xml:space="preserve">, Nghị định của Chính phủ quy định chi tiết một số điều của </w:t>
      </w:r>
      <w:r>
        <w:rPr>
          <w:b w:val="0"/>
          <w:i w:val="0"/>
        </w:rPr>
        <w:t>Luật Hợp tác xã</w:t>
      </w:r>
      <w:r>
        <w:rPr>
          <w:b w:val="0"/>
          <w:i w:val="0"/>
        </w:rPr>
        <w:t xml:space="preserve"> thuê để làm trụ sở, nhà kho, cửa hàng mua bán, trưng bày, giới thiệu sản phẩm phục vụ hoạt động sản xuất, kinh doanh.</w:t>
      </w:r>
    </w:p>
    <w:p>
      <w:pPr>
        <w:jc w:val="both"/>
      </w:pPr>
      <w:r>
        <w:rPr>
          <w:b w:val="0"/>
          <w:i w:val="0"/>
        </w:rPr>
        <w:t>2. Tổ chức có chức năng quản lý, kinh doanh nhà được Ủy ban nhân dân tỉnh giao nhiệm vụ quản lý, khai thác nhà, đất.</w:t>
      </w:r>
    </w:p>
    <w:p>
      <w:pPr>
        <w:jc w:val="both"/>
      </w:pPr>
      <w:r>
        <w:rPr>
          <w:b w:val="0"/>
          <w:i w:val="0"/>
        </w:rPr>
        <w:t>3. Các cơ quan, tổ chức, đơn vị, doanh nghiệp và cá nhân khác có liên quan đến việc quản lý, sử dụng và khai thác nhà, đất.</w:t>
      </w:r>
    </w:p>
    <w:p>
      <w:pPr>
        <w:jc w:val="both"/>
      </w:pPr>
      <w:r>
        <w:rPr>
          <w:b/>
          <w:i w:val="0"/>
        </w:rPr>
        <w:t xml:space="preserve">Điều 3. Chính sách ưu đãi miễn, giảm tiền thuê nhà </w:t>
      </w:r>
    </w:p>
    <w:p>
      <w:pPr>
        <w:jc w:val="both"/>
      </w:pPr>
      <w:r>
        <w:rPr>
          <w:b w:val="0"/>
          <w:i w:val="0"/>
        </w:rPr>
        <w:t>1. Miễn tiền thuê nhà cho toàn bộ thời gian thuê đối với đối tượng quy định tại điểm a khoản 1 Điều 2 Quyết định này.</w:t>
      </w:r>
    </w:p>
    <w:p>
      <w:pPr>
        <w:jc w:val="both"/>
      </w:pPr>
      <w:r>
        <w:rPr>
          <w:b w:val="0"/>
          <w:i w:val="0"/>
        </w:rPr>
        <w:t>2. Giảm tiền thuê nhà với số tiền được giảm bằng số tiền thuê đất trong cơ cấu tiền thuê nhà cho toàn bộ thời gian thuê nhà (bao gồm cả trường hợp gia hạn thời hạn cho thuê nhà) đối với đối tượng quy định tại điểm b, điểm c khoản 1 Điều 2 Quyết định này.</w:t>
      </w:r>
    </w:p>
    <w:p>
      <w:pPr>
        <w:jc w:val="both"/>
      </w:pPr>
      <w:r>
        <w:rPr>
          <w:b/>
          <w:i w:val="0"/>
        </w:rPr>
        <w:t>Điều 4. Hiệu lực thi hành</w:t>
      </w:r>
    </w:p>
    <w:p>
      <w:pPr>
        <w:jc w:val="both"/>
      </w:pPr>
      <w:r>
        <w:rPr>
          <w:b w:val="0"/>
          <w:i w:val="0"/>
        </w:rPr>
        <w:t>Quyết định này có hiệu lực thi hành kể từ ngày 01 tháng 6 năm 2026.</w:t>
      </w:r>
    </w:p>
    <w:p>
      <w:pPr>
        <w:jc w:val="both"/>
      </w:pPr>
      <w:r>
        <w:rPr>
          <w:b/>
          <w:i w:val="0"/>
        </w:rPr>
        <w:t>Điều 5. Trách nhiệm thi hành</w:t>
      </w:r>
    </w:p>
    <w:p>
      <w:pPr>
        <w:jc w:val="both"/>
      </w:pPr>
      <w:r>
        <w:rPr>
          <w:b w:val="0"/>
          <w:i w:val="0"/>
        </w:rPr>
        <w:t>1. Giao Sở Xây dựng chủ trì, phối hợp với các cơ quan, đơn vị liên quan hướng dẫn triển khai thực hiện và kiểm tra, đôn đốc việc thực hiện Quyết định này.</w:t>
      </w:r>
    </w:p>
    <w:p>
      <w:pPr>
        <w:jc w:val="both"/>
      </w:pPr>
      <w:r>
        <w:rPr>
          <w:b w:val="0"/>
          <w:i w:val="0"/>
        </w:rPr>
        <w:t>2. Chánh Văn phòng Ủy ban nhân dân tỉnh, Thủ trưởng các sở, ban, ngành tỉnh;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p>
        </w:tc>
        <w:tc>
          <w:tcPr>
            <w:tcW w:type="dxa" w:w="4320"/>
          </w:tcPr>
          <w:p>
            <w:r>
              <w:rPr>
                <w:b w:val="0"/>
                <w:i w:val="0"/>
              </w:rPr>
              <w:br/>
            </w:r>
            <w:r>
              <w:rPr>
                <w:b/>
                <w:i w:val="0"/>
              </w:rPr>
              <w:t>TM. ỦY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