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64/2025/TT-BTC Quy định mức thu, miễn một số khoản phí, lệ phí</w:t>
        <w:br/>
        <w:t>nhằm hỗ trợ cho doanh nghiệp, người dân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rPr>
                <w:b w:val="0"/>
                <w:i w:val="0"/>
              </w:rPr>
              <w:br/>
            </w:r>
            <w:r>
              <w:rPr>
                <w:b w:val="0"/>
                <w:i w:val="0"/>
              </w:rPr>
              <w:t>Số: 64/2025/TT-BTC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Hà Nội, ngày 30 tháng 6 năm 2025</w:t>
            </w:r>
          </w:p>
        </w:tc>
      </w:tr>
    </w:tbl>
    <w:p>
      <w:pPr>
        <w:jc w:val="center"/>
      </w:pPr>
      <w:r>
        <w:rPr>
          <w:b/>
          <w:i w:val="0"/>
        </w:rPr>
        <w:t>THÔNG TƯ</w:t>
      </w:r>
    </w:p>
    <w:p>
      <w:pPr>
        <w:jc w:val="center"/>
      </w:pPr>
      <w:r>
        <w:rPr>
          <w:b/>
          <w:i w:val="0"/>
        </w:rPr>
        <w:t xml:space="preserve">Quy định mức thu, miễn một số khoản phí, lệ phí </w:t>
      </w:r>
    </w:p>
    <w:p>
      <w:pPr>
        <w:jc w:val="center"/>
      </w:pPr>
      <w:r>
        <w:rPr>
          <w:b/>
          <w:i w:val="0"/>
        </w:rPr>
        <w:t>nhằm hỗ trợ cho doanh nghiệp, người dân</w:t>
      </w:r>
    </w:p>
    <w:p>
      <w:pPr>
        <w:jc w:val="center"/>
      </w:pPr>
      <w:r>
        <w:rPr>
          <w:b/>
          <w:i w:val="0"/>
        </w:rPr>
        <w:t>---------------</w:t>
      </w:r>
    </w:p>
    <w:p>
      <w:pPr>
        <w:jc w:val="both"/>
      </w:pPr>
      <w:r>
        <w:rPr>
          <w:b w:val="0"/>
          <w:i/>
        </w:rPr>
        <w:t xml:space="preserve">Căn cứ </w:t>
      </w:r>
      <w:r>
        <w:rPr>
          <w:b w:val="0"/>
          <w:i/>
        </w:rPr>
        <w:t>Luật Phí và lệ phí ngày 25 tháng 11 năm 2015;</w:t>
      </w:r>
    </w:p>
    <w:p>
      <w:pPr>
        <w:jc w:val="both"/>
      </w:pPr>
      <w:r>
        <w:rPr>
          <w:b w:val="0"/>
          <w:i/>
        </w:rPr>
        <w:t xml:space="preserve">Căn cứ Nghị định số </w:t>
      </w:r>
      <w:r>
        <w:rPr>
          <w:b w:val="0"/>
          <w:i/>
        </w:rPr>
        <w:t>29/2025/NĐ-CP ngày 24 tháng 02 năm 2025 của Chính phủ quy định chức năng, nhiệm vụ, quyền hạn và cơ cấu tổ chức của Bộ Tài chính;</w:t>
      </w:r>
    </w:p>
    <w:p>
      <w:pPr>
        <w:jc w:val="both"/>
      </w:pPr>
      <w:r>
        <w:rPr>
          <w:b w:val="0"/>
          <w:i/>
        </w:rPr>
        <w:t>Theo đề nghị của Cục trưởng Cục Quản lý, giám sát chính sách thuế, phí và lệ phí;</w:t>
      </w:r>
    </w:p>
    <w:p>
      <w:pPr>
        <w:jc w:val="both"/>
      </w:pPr>
      <w:r>
        <w:rPr>
          <w:b w:val="0"/>
          <w:i/>
        </w:rPr>
        <w:t>Bộ trưởng Bộ Tài chính ban hành Thông tư quy định mức thu, miễn một số khoản phí, lệ phí nhằm hỗ trợ cho doanh nghiệp, người dân.</w:t>
      </w:r>
    </w:p>
    <w:p>
      <w:r>
        <w:rPr>
          <w:b/>
          <w:i w:val="0"/>
        </w:rPr>
        <w:t>Điều 1. Mức thu một số khoản phí, lệ phí nhằm hỗ trợ cho doanh nghiệp, người dân</w:t>
      </w:r>
    </w:p>
    <w:p>
      <w:r>
        <w:rPr>
          <w:b w:val="0"/>
          <w:i w:val="0"/>
        </w:rPr>
        <w:t>1. Kể từ ngày 01 tháng 7 năm 2025 đến hết ngày 31 tháng 12 năm 2026, mức thu một số khoản phí, lệ phí được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Tên phí, lệ phí</w:t>
            </w:r>
          </w:p>
        </w:tc>
        <w:tc>
          <w:tcPr>
            <w:tcW w:type="dxa" w:w="2880"/>
          </w:tcPr>
          <w:p>
            <w:r>
              <w:rPr>
                <w:b w:val="0"/>
                <w:i w:val="0"/>
              </w:rPr>
              <w:br/>
            </w:r>
            <w:r>
              <w:rPr>
                <w:b/>
                <w:i w:val="0"/>
              </w:rPr>
              <w:t>Mức thu</w:t>
            </w:r>
          </w:p>
        </w:tc>
      </w:tr>
    </w:tbl>
    <w:p>
      <w:pPr>
        <w:jc w:val="both"/>
      </w:pPr>
      <w:r>
        <w:rPr>
          <w:b w:val="0"/>
          <w:i w:val="0"/>
        </w:rPr>
        <w:t>a) Đối với phí sử dụng tần số vô tuyến điện quy định tại Số thứ tự 28 trong Biểu nêu trên: Trường hợp tổ chức, cá nhân đã nộp phí theo mức phí quy định tại Thông tư số 265/2016/TT-BTC và Thông tư số 11/2022/TT-BTC cho khoảng thời gian có hiệu lực của Thông tư này, tổ chức, cá nhân sẽ được bù trừ số tiền phí chênh lệch giữa mức phí theo quy định tại Thông tư số 265/2016/TT-BTC và Thông tư số 11/2022/TT-BTC với mức phí theo quy định tại Thông tư này vào số phí phải nộp của kỳ nộp phí tiếp theo. Tổ chức thu phí chịu trách nhiệm tính bù trừ tiền phí cho tổ chức, cá nhân vào kỳ nộp phí tiếp theo.</w:t>
      </w:r>
    </w:p>
    <w:p>
      <w:pPr>
        <w:jc w:val="both"/>
      </w:pPr>
      <w:r>
        <w:rPr>
          <w:b w:val="0"/>
          <w:i w:val="0"/>
        </w:rPr>
        <w:t>b) Các Thông tư được viện dẫn trong Biểu nêu trên gọi chung là các Thông tư gốc. Trường hợp các Thông tư gốc được sửa đổi, bổ sung hoặc thay thế thì mức thu các khoản phí, lệ phí quy định trong Biểu nêu trên tính bằng tỷ lệ mức thu tương ứng tại Biểu nêu trên nhân với mức thu phí, lệ phí tại văn bản mới sửa đổi, bổ sung hoặc thay thế.</w:t>
      </w:r>
    </w:p>
    <w:p>
      <w:pPr>
        <w:jc w:val="both"/>
      </w:pPr>
      <w:r>
        <w:rPr>
          <w:b w:val="0"/>
          <w:i w:val="0"/>
        </w:rPr>
        <w:t>c) Mức thu phí trong Biểu nêu trên áp dụng cả đối với trường hợp sử dụng dịch vụ công trực tuyến.</w:t>
      </w:r>
    </w:p>
    <w:p>
      <w:pPr>
        <w:jc w:val="both"/>
      </w:pPr>
      <w:r>
        <w:rPr>
          <w:b w:val="0"/>
          <w:i w:val="0"/>
        </w:rPr>
        <w:t>2. Kể từ ngày 01 tháng 01 năm 2027 trở đi, mức thu các khoản phí, lệ phí quy định tại Biểu nêu trên thực hiện theo quy định tại các Thông tư gốc và các Thông tư sửa đổi, bổ sung hoặc thay thế (nếu có).</w:t>
      </w:r>
    </w:p>
    <w:p>
      <w:pPr>
        <w:jc w:val="both"/>
      </w:pPr>
      <w:r>
        <w:rPr>
          <w:b w:val="0"/>
          <w:i w:val="0"/>
        </w:rPr>
        <w:t>3. Ngoài mức thu các khoản phí, lệ phí quy định trong Biểu nêu trên, các nội dung khác liên quan đến: Phạm vi điều chỉnh, đối tượng áp dụng; tổ chức thu phí, lệ phí; người nộp phí, lệ phí; các trường hợp miễn, không phải nộp phí, lệ phí; kê khai, nộp phí, lệ phí; mức thu các khoản phí, lệ phí; quản lý, sử dụng phí; chứng từ thu, công khai chế độ thu phí, lệ phí không quy định tại Thông tư này thực hiện theo quy định tại các Thông tư gốc; các Thông tư sửa đổi, bổ sung hoặc thay thế (nếu có) và các văn bản quy phạm pháp luật khác có liên quan.</w:t>
      </w:r>
    </w:p>
    <w:p>
      <w:r>
        <w:rPr>
          <w:b/>
          <w:i w:val="0"/>
        </w:rPr>
        <w:t>Điều 2. Miễn phí</w:t>
      </w:r>
    </w:p>
    <w:p>
      <w:pPr>
        <w:jc w:val="both"/>
      </w:pPr>
      <w:r>
        <w:rPr>
          <w:b w:val="0"/>
          <w:i w:val="0"/>
        </w:rPr>
        <w:t>Miễn phí thẩm định cấp giấy phép hoạt động điện lực quy định tại Biểu mức thu phí thẩm định cấp giấy phép hoạt động điện lực ban hành kèm theo Thông tư số 106/2020/TT-BTC ngày 08 tháng 12 năm 2020 của Bộ trưởng Bộ Tài chính quy định mức thu, chế độ thu, nộp, quản lý và sử dụng phí thẩm định cấp giấy phép hoạt động điện lực đến hết ngày 31 tháng 12 năm 2026 đối với trường hợp cấp sửa đổi, bổ sung giấy phép hoạt động điện lực do thay đổi địa chỉ trụ sở chính khi thực hiện sửa đổi, bổ sung giấy phép do sắp xếp, tổ chức lại đơn vị hành chính các cấp.</w:t>
      </w:r>
    </w:p>
    <w:p>
      <w:pPr>
        <w:jc w:val="both"/>
      </w:pPr>
      <w:r>
        <w:rPr>
          <w:b/>
          <w:i w:val="0"/>
        </w:rPr>
        <w:t xml:space="preserve">Điều 3. Sửa đổi, bổ sung </w:t>
      </w:r>
      <w:r>
        <w:rPr>
          <w:b/>
          <w:i w:val="0"/>
        </w:rPr>
        <w:t xml:space="preserve">điểm d khoản 2 Điều 5 Thông tư số 10/2025/TT-BTC </w:t>
      </w:r>
      <w:r>
        <w:rPr>
          <w:b/>
          <w:i w:val="0"/>
        </w:rPr>
        <w:t>ngày 19 tháng 3 năm 2025 của Bộ trưởng Bộ Tài chính quy định mức thu, chế độ thu, nộp, quản lý sử dụng phí tài nguyên Internet, lệ phí phân bổ, cấp tài nguyên Internet</w:t>
      </w:r>
    </w:p>
    <w:p>
      <w:pPr>
        <w:jc w:val="both"/>
      </w:pPr>
      <w:r>
        <w:rPr>
          <w:b w:val="0"/>
          <w:i w:val="0"/>
        </w:rPr>
        <w:t>Sửa đổi, bổ sung điểm d khoản 2 Điều 5 Thông tư số 10/2025/TT-BTC như sau:</w:t>
      </w:r>
    </w:p>
    <w:p>
      <w:pPr>
        <w:jc w:val="both"/>
      </w:pPr>
      <w:r>
        <w:rPr>
          <w:b w:val="0"/>
          <w:i/>
        </w:rPr>
        <w:t>“d) Kể từ ngày Thông tư này có hiệu lực thi hành đến hết ngày 31 tháng 12 năm 2026:</w:t>
      </w:r>
    </w:p>
    <w:p>
      <w:pPr>
        <w:jc w:val="both"/>
      </w:pPr>
      <w:r>
        <w:rPr>
          <w:b w:val="0"/>
          <w:i/>
        </w:rPr>
        <w:t>Công dân Việt Nam có độ tuổi từ đủ 18 đến 23 đăng ký sử dụng tên miền “id.vn” thực hiện nộp phí từ năm thứ 03 trở đi.</w:t>
      </w:r>
    </w:p>
    <w:p>
      <w:pPr>
        <w:jc w:val="both"/>
      </w:pPr>
      <w:r>
        <w:rPr>
          <w:b w:val="0"/>
          <w:i/>
        </w:rPr>
        <w:t>Doanh nghiệp (có giấy chứng nhận đăng ký doanh nghiệp trong vòng 01 năm (12 tháng) cho đến thời điểm đăng ký tên miền), hộ kinh doanh (có giấy chứng nhận đăng ký hộ kinh doanh) đăng ký tên miền “biz.vn” thực hiện nộp phí từ năm thứ 03 trở đi.</w:t>
      </w:r>
    </w:p>
    <w:p>
      <w:pPr>
        <w:jc w:val="both"/>
      </w:pPr>
      <w:r>
        <w:rPr>
          <w:b w:val="0"/>
          <w:i/>
        </w:rPr>
        <w:t>Ngày bắt đầu tính phí là ngày đầu tiên của năm thứ 03 tính từ ngày tên miền được cấp. Quy định này chỉ áp dụng với 01 tên miền đăng ký mới đầu tiên.”</w:t>
      </w:r>
    </w:p>
    <w:p>
      <w:r>
        <w:rPr>
          <w:b/>
          <w:i w:val="0"/>
        </w:rPr>
        <w:t>Điều 4. Điều khoản thi hành</w:t>
      </w:r>
    </w:p>
    <w:p>
      <w:pPr>
        <w:jc w:val="both"/>
      </w:pPr>
      <w:r>
        <w:rPr>
          <w:b w:val="0"/>
          <w:i w:val="0"/>
        </w:rPr>
        <w:t>1. Thông tư này có hiệu lực thi hành từ ngày 01 tháng 7 năm 2025 đến hết ngày 31 tháng 12 năm 2026.</w:t>
      </w:r>
    </w:p>
    <w:p>
      <w:pPr>
        <w:jc w:val="both"/>
      </w:pPr>
      <w:r>
        <w:rPr>
          <w:b w:val="0"/>
          <w:i w:val="0"/>
        </w:rPr>
        <w:t>2. Trong quá trình thực hiện, nếu có vướng mắc, đề nghị các tổ chức, cá nhân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Văn phòng Trung ương Đảng và các Ban của Đảng;</w:t>
            </w:r>
            <w:r>
              <w:br/>
            </w:r>
            <w:r>
              <w:rPr>
                <w:b w:val="0"/>
                <w:i w:val="0"/>
              </w:rPr>
              <w:t>- Văn phòng Tổng Bí thư;</w:t>
            </w:r>
            <w:r>
              <w:br/>
            </w:r>
            <w:r>
              <w:rPr>
                <w:b w:val="0"/>
                <w:i w:val="0"/>
              </w:rPr>
              <w:t>- Văn phòng Quốc hội;</w:t>
            </w:r>
            <w:r>
              <w:br/>
            </w:r>
            <w:r>
              <w:rPr>
                <w:b w:val="0"/>
                <w:i w:val="0"/>
              </w:rPr>
              <w:t>- Hội đồng Dân tộc;</w:t>
            </w:r>
            <w:r>
              <w:br/>
            </w:r>
            <w:r>
              <w:rPr>
                <w:b w:val="0"/>
                <w:i w:val="0"/>
              </w:rPr>
              <w:t>- Ủy ban Kinh tế và Tài chính;</w:t>
            </w:r>
            <w:r>
              <w:br/>
            </w:r>
            <w:r>
              <w:rPr>
                <w:b w:val="0"/>
                <w:i w:val="0"/>
              </w:rPr>
              <w:t>- Văn phòng Chủ tịch nước;</w:t>
            </w:r>
            <w:r>
              <w:br/>
            </w:r>
            <w:r>
              <w:rPr>
                <w:b w:val="0"/>
                <w:i w:val="0"/>
              </w:rPr>
              <w:t>- Viện kiểm sát nhân dân tối cao;</w:t>
            </w:r>
            <w:r>
              <w:br/>
            </w:r>
            <w:r>
              <w:rPr>
                <w:b w:val="0"/>
                <w:i w:val="0"/>
              </w:rPr>
              <w:t>- Tòa án nhân dân tối cao;</w:t>
            </w:r>
            <w:r>
              <w:br/>
            </w:r>
            <w:r>
              <w:rPr>
                <w:b w:val="0"/>
                <w:i w:val="0"/>
              </w:rPr>
              <w:t>- Kiểm toán nhà nước;</w:t>
            </w:r>
            <w:r>
              <w:br/>
            </w:r>
            <w:r>
              <w:rPr>
                <w:b w:val="0"/>
                <w:i w:val="0"/>
              </w:rPr>
              <w:t>- Cơ quan trung ương của các đoàn thể;</w:t>
            </w:r>
            <w:r>
              <w:br/>
            </w:r>
            <w:r>
              <w:rPr>
                <w:b w:val="0"/>
                <w:i w:val="0"/>
              </w:rPr>
              <w:t>- Các bộ, cơ quan ngang bộ, cơ quan thuộc Chính phủ;</w:t>
            </w:r>
            <w:r>
              <w:br/>
            </w:r>
            <w:r>
              <w:rPr>
                <w:b w:val="0"/>
                <w:i w:val="0"/>
              </w:rPr>
              <w:t>- HĐND, UBND các tỉnh, thành phố trực thuộc trung ương;</w:t>
            </w:r>
            <w:r>
              <w:br/>
            </w:r>
            <w:r>
              <w:rPr>
                <w:b w:val="0"/>
                <w:i w:val="0"/>
              </w:rPr>
              <w:t>- Sở Tài chính các tỉnh, thành phố trực thuộc trung ương;</w:t>
            </w:r>
            <w:r>
              <w:br/>
            </w:r>
            <w:r>
              <w:rPr>
                <w:b w:val="0"/>
                <w:i w:val="0"/>
              </w:rPr>
              <w:t>- Chi cục Thuế, Kho bạc Nhà nước các khu vực;</w:t>
            </w:r>
            <w:r>
              <w:br/>
            </w:r>
            <w:r>
              <w:rPr>
                <w:b w:val="0"/>
                <w:i w:val="0"/>
              </w:rPr>
              <w:t>- Cục Kiểm tra văn bản và Quản lý xử lý vi phạm hành chính, Bộ Tư pháp;</w:t>
            </w:r>
            <w:r>
              <w:br/>
            </w:r>
            <w:r>
              <w:rPr>
                <w:b w:val="0"/>
                <w:i w:val="0"/>
              </w:rPr>
              <w:t>- Công báo;</w:t>
            </w:r>
            <w:r>
              <w:br/>
            </w:r>
            <w:r>
              <w:rPr>
                <w:b w:val="0"/>
                <w:i w:val="0"/>
              </w:rPr>
              <w:t>- Cổng Thông tin điện tử Chính phủ;</w:t>
            </w:r>
            <w:r>
              <w:br/>
            </w:r>
            <w:r>
              <w:rPr>
                <w:b w:val="0"/>
                <w:i w:val="0"/>
              </w:rPr>
              <w:t>- Cổng Thông tin điện tử Bộ Tài chính;</w:t>
            </w:r>
            <w:r>
              <w:br/>
            </w:r>
            <w:r>
              <w:rPr>
                <w:b w:val="0"/>
                <w:i w:val="0"/>
              </w:rPr>
              <w:t>- Các đơn vị thuộc Bộ Tài chính;</w:t>
            </w:r>
            <w:r>
              <w:br/>
            </w:r>
            <w:r>
              <w:rPr>
                <w:b w:val="0"/>
                <w:i w:val="0"/>
              </w:rPr>
              <w:t>- Lưu: VT, Cục CST (160b).</w:t>
            </w:r>
          </w:p>
        </w:tc>
        <w:tc>
          <w:tcPr>
            <w:tcW w:type="dxa" w:w="4320"/>
          </w:tcPr>
          <w:p>
            <w:r>
              <w:rPr>
                <w:b w:val="0"/>
                <w:i w:val="0"/>
              </w:rPr>
              <w:br/>
            </w:r>
            <w:r>
              <w:rPr>
                <w:b/>
                <w:i w:val="0"/>
              </w:rPr>
              <w:t>KT. BỘ TRƯỞNG</w:t>
            </w:r>
            <w:r>
              <w:br/>
            </w:r>
            <w:r>
              <w:rPr>
                <w:b/>
                <w:i w:val="0"/>
              </w:rPr>
              <w:t>THỨ TRƯỞNG</w:t>
            </w:r>
            <w:r>
              <w:br/>
            </w:r>
            <w:r>
              <w:rPr>
                <w:b/>
                <w:i/>
              </w:rPr>
              <w:t>(Đã ký)</w:t>
            </w:r>
            <w:r>
              <w:br/>
            </w:r>
            <w:r>
              <w:br/>
            </w:r>
            <w:r>
              <w:rPr>
                <w:b/>
                <w:i w:val="0"/>
              </w:rPr>
              <w:t>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