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88/2026/QĐ-UBND Ban hành Quy chế phối hợp trong công tác quản lý nhà nước đối với khu công nghiệp, khu kinh tế trên địa bàn tỉnh Cà Mau</w:t>
      </w:r>
    </w:p>
    <w:p>
      <w:r>
        <w:rPr>
          <w:b w:val="0"/>
          <w:i w:val="0"/>
        </w:rPr>
        <w:br/>
      </w:r>
      <w:r>
        <w:rPr>
          <w:b w:val="0"/>
          <w:i w:val="0"/>
        </w:rPr>
        <w:t>2</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rPr>
                <w:b w:val="0"/>
                <w:i w:val="0"/>
              </w:rPr>
              <w:br/>
            </w:r>
            <w:r>
              <w:rPr>
                <w:b/>
                <w:i w:val="0"/>
              </w:rPr>
              <w:t>TỈNH CÀ MAU</w:t>
            </w:r>
            <w:r>
              <w:rPr>
                <w:b w:val="0"/>
                <w:i w:val="0"/>
              </w:rPr>
              <w:br/>
            </w:r>
            <w:r>
              <w:rPr>
                <w:b w:val="0"/>
                <w:i w:val="0"/>
              </w:rPr>
              <w:br/>
            </w:r>
            <w:r>
              <w:rPr>
                <w:b w:val="0"/>
                <w:i w:val="0"/>
              </w:rPr>
              <w:t xml:space="preserve"> </w:t>
            </w:r>
            <w:r>
              <w:rPr>
                <w:b w:val="0"/>
                <w:i w:val="0"/>
              </w:rPr>
              <w:br/>
            </w:r>
            <w:r>
              <w:rPr>
                <w:b w:val="0"/>
                <w:i w:val="0"/>
              </w:rPr>
              <w:t>Số: 88/2026/QĐ-UBND</w:t>
            </w:r>
          </w:p>
        </w:tc>
        <w:tc>
          <w:tcPr>
            <w:tcW w:type="dxa" w:w="2880"/>
          </w:tcPr>
          <w:p>
            <w:r>
              <w:rPr>
                <w:b w:val="0"/>
                <w:i w:val="0"/>
              </w:rPr>
              <w:br/>
            </w:r>
            <w:r>
              <w:rPr>
                <w:b w:val="0"/>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Cà Mau, ngày 18 tháng 5 năm 2026</w:t>
            </w:r>
          </w:p>
        </w:tc>
      </w:tr>
    </w:tbl>
    <w:p>
      <w:pPr>
        <w:jc w:val="center"/>
      </w:pPr>
      <w:r>
        <w:rPr>
          <w:b/>
          <w:i w:val="0"/>
        </w:rPr>
        <w:t>QUYẾT ĐỊNH</w:t>
      </w:r>
    </w:p>
    <w:p>
      <w:pPr>
        <w:jc w:val="center"/>
      </w:pPr>
      <w:r>
        <w:rPr>
          <w:b/>
          <w:i w:val="0"/>
        </w:rPr>
        <w:t>Ban hành Quy chế phối hợp trong công tác quản lý nhà nước</w:t>
      </w:r>
    </w:p>
    <w:p>
      <w:pPr>
        <w:jc w:val="center"/>
      </w:pPr>
      <w:r>
        <w:rPr>
          <w:b/>
          <w:i w:val="0"/>
        </w:rPr>
        <w:t xml:space="preserve">đối với </w:t>
      </w:r>
      <w:r>
        <w:rPr>
          <w:b/>
          <w:i w:val="0"/>
        </w:rPr>
        <w:t xml:space="preserve">khu công nghiệp, khu kinh tế </w:t>
      </w:r>
      <w:r>
        <w:rPr>
          <w:b/>
          <w:i w:val="0"/>
        </w:rPr>
        <w:t>trên địa bàn tỉnh Cà Mau</w:t>
      </w:r>
    </w:p>
    <w:p>
      <w:pPr>
        <w:jc w:val="both"/>
      </w:pPr>
      <w:r>
        <w:rPr>
          <w:b w:val="0"/>
          <w:i/>
        </w:rPr>
        <w:t>Căn cứ Luật Tổ chức chính quyền địa phương số 72/2025/QH15;</w:t>
      </w:r>
    </w:p>
    <w:p>
      <w:pPr>
        <w:jc w:val="both"/>
      </w:pPr>
      <w:r>
        <w:rPr>
          <w:b w:val="0"/>
          <w:i/>
        </w:rPr>
        <w:t xml:space="preserve">Căn cứ Luật Ban hành văn bản quy phạm pháp luật số 64/2025/QH15 được sửa đổi, bổ sung bởi Luật số 87/2025/QH15; </w:t>
      </w:r>
    </w:p>
    <w:p>
      <w:pPr>
        <w:jc w:val="both"/>
      </w:pPr>
      <w:r>
        <w:rPr>
          <w:b w:val="0"/>
          <w:i/>
        </w:rPr>
        <w:t>Căn cứ Luật Chuyển giao công nghệ số 07/2017/QH14 được sửa đổi, bổ sung bởi Luật số 115/2025/QH15;</w:t>
      </w:r>
    </w:p>
    <w:p>
      <w:pPr>
        <w:jc w:val="both"/>
      </w:pPr>
      <w:r>
        <w:rPr>
          <w:b w:val="0"/>
          <w:i/>
        </w:rPr>
        <w:t>Căn cứ Luật Doanh nghiệp số 59/2020/QH14 được sửa đổi, bổ sung bởi Luật số 76/2025/QH15;</w:t>
      </w:r>
    </w:p>
    <w:p>
      <w:pPr>
        <w:jc w:val="both"/>
      </w:pPr>
      <w:r>
        <w:rPr>
          <w:b w:val="0"/>
          <w:i/>
        </w:rPr>
        <w:t>Căn cứ Luật Bảo vệ môi trường số 72/2020/QH14 được sửa đổi, bổ sung bởi Luật số 11/2022/QH15, Luật số 16/2023/QH15, Luật số 18/2023/QH15, Luật số 47/2024/QH15, Luật số 54/2024/QH15 và Luật số 146/2025/QH15</w:t>
      </w:r>
      <w:r>
        <w:rPr>
          <w:b w:val="0"/>
          <w:i/>
        </w:rPr>
        <w:t>;</w:t>
      </w:r>
    </w:p>
    <w:p>
      <w:pPr>
        <w:jc w:val="both"/>
      </w:pPr>
      <w:r>
        <w:rPr>
          <w:b w:val="0"/>
          <w:i/>
        </w:rPr>
        <w:t>Căn cứ Luật Đất đai số 31/2024/QH15 được sửa đổi, bổ sung bởi Luật số 43/2024/QH15, Luật số 47/2024/QH15, Luật số 58/2024/QH15; Luật số 71/2025/QH15, Luật số 84/2025/QH15, Luật số 58/2025/QH15, Luật số 93/2025/QH15, Luật số 95/2025/QH15, Luật số 146/2025/QH15 và Luật số 147/2025/QH15</w:t>
      </w:r>
      <w:r>
        <w:rPr>
          <w:b w:val="0"/>
          <w:i/>
        </w:rPr>
        <w:t>;</w:t>
      </w:r>
    </w:p>
    <w:p>
      <w:pPr>
        <w:jc w:val="both"/>
      </w:pPr>
      <w:r>
        <w:rPr>
          <w:b w:val="0"/>
          <w:i/>
        </w:rPr>
        <w:t>Căn cứ Luật Quy hoạch đô thị và nông thôn số 47/2024/QH15 được sửa đổi, bổ sung bởi Luật số 144/2025/QH15;</w:t>
      </w:r>
    </w:p>
    <w:p>
      <w:pPr>
        <w:jc w:val="both"/>
      </w:pPr>
      <w:r>
        <w:rPr>
          <w:b w:val="0"/>
          <w:i/>
        </w:rPr>
        <w:t>Căn cứ Luật Quy hoạch số 112/2025/QH15;</w:t>
      </w:r>
    </w:p>
    <w:p>
      <w:pPr>
        <w:jc w:val="both"/>
      </w:pPr>
      <w:r>
        <w:rPr>
          <w:b w:val="0"/>
          <w:i/>
        </w:rPr>
        <w:t>Căn cứ Luật Đầu tư số 143/2025/QH15;</w:t>
      </w:r>
    </w:p>
    <w:p>
      <w:pPr>
        <w:jc w:val="both"/>
      </w:pPr>
      <w:r>
        <w:rPr>
          <w:b w:val="0"/>
          <w:i/>
        </w:rPr>
        <w:t>Căn cứ Nghị định số 35/2022/NĐ-CP ngày 28 tháng 5 năm 2022 của Chính phủ quy định về quản lý khu công nghiệp và khu kinh tế được sửa đổi, bổ sung bởi Nghị định số 70/2023/NĐ-CP và Nghị định số 178/2025/NĐ-CP</w:t>
      </w:r>
      <w:r>
        <w:rPr>
          <w:b w:val="0"/>
          <w:i/>
        </w:rPr>
        <w:t>;</w:t>
      </w:r>
    </w:p>
    <w:p>
      <w:pPr>
        <w:jc w:val="both"/>
      </w:pPr>
      <w:r>
        <w:rPr>
          <w:b w:val="0"/>
          <w:i/>
        </w:rPr>
        <w:t>Theo đề nghị của Trưởng Ban Quản lý Khu kinh tế tại Tờ trình số 44/TTr-BQL ngày 10 tháng 4 năm 2026 và Công văn số 813/BQL-VP ngày 29 tháng 4 năm 2026;</w:t>
      </w:r>
    </w:p>
    <w:p>
      <w:pPr>
        <w:jc w:val="both"/>
      </w:pPr>
      <w:r>
        <w:rPr>
          <w:b w:val="0"/>
          <w:i/>
        </w:rPr>
        <w:t>Ủy ban nhân dân ban hành Quyết định ban hành Quy chế phối hợp trong công tác quản lý nhà nước đối với khu công nghiệp, khu kinh tế trên địa bàn tỉnh Cà Mau.</w:t>
      </w:r>
    </w:p>
    <w:p>
      <w:pPr>
        <w:jc w:val="both"/>
      </w:pPr>
      <w:r>
        <w:rPr>
          <w:b/>
          <w:i w:val="0"/>
        </w:rPr>
        <w:t xml:space="preserve">Điều 1. </w:t>
      </w:r>
      <w:r>
        <w:rPr>
          <w:b w:val="0"/>
          <w:i w:val="0"/>
        </w:rPr>
        <w:t>Ban hành kèm theo Quyết định này Quy chế phối hợp trong công tác quản lý nhà nước đối với khu công nghiệp, khu kinh tế trên địa bàn tỉnh Cà Mau.</w:t>
      </w:r>
    </w:p>
    <w:p>
      <w:pPr>
        <w:jc w:val="both"/>
      </w:pPr>
      <w:r>
        <w:rPr>
          <w:b/>
          <w:i w:val="0"/>
        </w:rPr>
        <w:t>Điều 2. Hiệu lực thi hành</w:t>
      </w:r>
    </w:p>
    <w:p>
      <w:pPr>
        <w:jc w:val="both"/>
      </w:pPr>
      <w:r>
        <w:rPr>
          <w:b w:val="0"/>
          <w:i w:val="0"/>
        </w:rPr>
        <w:t>1. Quyết định này có hiệu lực thi hành kể từ ngày 01 tháng 6 năm 2026.</w:t>
      </w:r>
    </w:p>
    <w:p>
      <w:pPr>
        <w:jc w:val="both"/>
      </w:pPr>
      <w:r>
        <w:rPr>
          <w:b w:val="0"/>
          <w:i w:val="0"/>
        </w:rPr>
        <w:t xml:space="preserve">2. Quyết định số 33/2024/QĐ-UBND ngày 23 tháng 9 năm 2024 của Ủy ban nhân dân tỉnh Cà Mau ban hành </w:t>
      </w:r>
      <w:r>
        <w:rPr>
          <w:b w:val="0"/>
          <w:i w:val="0"/>
        </w:rPr>
        <w:t xml:space="preserve">Quy chế phối hợp trong công tác quản lý nhà nước đối với khu công nghiệp, khu kinh tế trên địa bàn tỉnh Cà Mau hết hiệu lực kể từ ngày Quyết định này có hiệu lực thi hành. </w:t>
      </w:r>
    </w:p>
    <w:p>
      <w:pPr>
        <w:jc w:val="both"/>
      </w:pPr>
      <w:r>
        <w:rPr>
          <w:b/>
          <w:i w:val="0"/>
        </w:rPr>
        <w:t xml:space="preserve">Điều 3. Tổ chức thực hiện </w:t>
      </w:r>
    </w:p>
    <w:p>
      <w:pPr>
        <w:jc w:val="both"/>
      </w:pPr>
      <w:r>
        <w:rPr>
          <w:b w:val="0"/>
          <w:i w:val="0"/>
        </w:rPr>
        <w:t>1. Giao Ban Quản lý Khu kinh tế chủ trì, phối hợp với các cơ quan, đơn vị có liên quan tổ chức triển khai thực hiện Quyết định này.</w:t>
      </w:r>
    </w:p>
    <w:p>
      <w:pPr>
        <w:jc w:val="both"/>
      </w:pPr>
      <w:r>
        <w:rPr>
          <w:b w:val="0"/>
          <w:i w:val="0"/>
        </w:rPr>
        <w:t>2. Chánh Văn phòng Ủy ban nhân dân tỉnh; Trưởng Ban Quản lý Khu kinh tế; Thủ trưởng các sở, ban, ngành tỉnh; Chủ tịch Ủy ban nhân dân các xã, phường và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rPr>
                <w:b w:val="0"/>
                <w:i w:val="0"/>
              </w:rPr>
              <w:br/>
            </w:r>
            <w:r>
              <w:rPr>
                <w:b w:val="0"/>
                <w:i w:val="0"/>
              </w:rPr>
              <w:t>- Vụ Pháp chế - Bộ Tài chính;</w:t>
            </w:r>
            <w:r>
              <w:rPr>
                <w:b w:val="0"/>
                <w:i w:val="0"/>
              </w:rPr>
              <w:br/>
            </w:r>
            <w:r>
              <w:rPr>
                <w:b w:val="0"/>
                <w:i w:val="0"/>
              </w:rPr>
              <w:t xml:space="preserve">- Cục KTVB&amp;TCTHPL - Bộ Tư pháp; </w:t>
            </w:r>
            <w:r>
              <w:rPr>
                <w:b w:val="0"/>
                <w:i w:val="0"/>
              </w:rPr>
              <w:br/>
            </w:r>
            <w:r>
              <w:rPr>
                <w:b w:val="0"/>
                <w:i w:val="0"/>
              </w:rPr>
              <w:t>- Thường trực Tỉnh ủy (b/c);</w:t>
            </w:r>
            <w:r>
              <w:rPr>
                <w:b w:val="0"/>
                <w:i w:val="0"/>
              </w:rPr>
              <w:br/>
            </w:r>
            <w:r>
              <w:rPr>
                <w:b w:val="0"/>
                <w:i w:val="0"/>
              </w:rPr>
              <w:t>- Thường trực HĐND tỉnh (b/c);</w:t>
            </w:r>
            <w:r>
              <w:rPr>
                <w:b w:val="0"/>
                <w:i w:val="0"/>
              </w:rPr>
              <w:br/>
            </w:r>
            <w:r>
              <w:rPr>
                <w:b w:val="0"/>
                <w:i w:val="0"/>
              </w:rPr>
              <w:t>- CT, các PCT UBND tỉnh;</w:t>
            </w:r>
            <w:r>
              <w:rPr>
                <w:b w:val="0"/>
                <w:i w:val="0"/>
              </w:rPr>
              <w:br/>
            </w:r>
            <w:r>
              <w:rPr>
                <w:b w:val="0"/>
                <w:i w:val="0"/>
              </w:rPr>
              <w:t>- Sở Tư pháp</w:t>
            </w:r>
            <w:r>
              <w:rPr>
                <w:b w:val="0"/>
                <w:i w:val="0"/>
              </w:rPr>
              <w:t>;</w:t>
            </w:r>
            <w:r>
              <w:rPr>
                <w:b w:val="0"/>
                <w:i w:val="0"/>
              </w:rPr>
              <w:br/>
            </w:r>
            <w:r>
              <w:rPr>
                <w:b w:val="0"/>
                <w:i w:val="0"/>
              </w:rPr>
              <w:t>- CVP, các PCVP UBND tỉnh;</w:t>
            </w:r>
            <w:r>
              <w:rPr>
                <w:b w:val="0"/>
                <w:i w:val="0"/>
              </w:rPr>
              <w:br/>
            </w:r>
            <w:r>
              <w:rPr>
                <w:b w:val="0"/>
                <w:i w:val="0"/>
              </w:rPr>
              <w:t>- Cổng Thông tin điện tử tỉnh;</w:t>
            </w:r>
            <w:r>
              <w:rPr>
                <w:b w:val="0"/>
                <w:i w:val="0"/>
              </w:rPr>
              <w:br/>
            </w:r>
            <w:r>
              <w:rPr>
                <w:b w:val="0"/>
                <w:i w:val="0"/>
              </w:rPr>
              <w:t>- Các Phòng khối NC-TH;</w:t>
            </w:r>
            <w:r>
              <w:rPr>
                <w:b w:val="0"/>
                <w:i w:val="0"/>
              </w:rPr>
              <w:br/>
            </w:r>
            <w:r>
              <w:rPr>
                <w:b w:val="0"/>
                <w:i w:val="0"/>
              </w:rPr>
              <w:t>- Lưu: VT, CH (QĐ 18), M.A105/5.</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Huỳnh Chí Nguyện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