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04/2020/QĐ-UBND Quy định tài sản có giá trị lớn sử dụng vào mục đích kinh doanh, cho thuê tại các đơn vị sự nghiệp công lập thuộc phạm vi quản lý của tỉnh Phú Thọ</w:t>
      </w:r>
    </w:p>
    <w:p>
      <w:r>
        <w:rPr>
          <w:b/>
          <w:i w:val="0"/>
        </w:rPr>
        <w:t>QUYẾT ĐỊNH</w:t>
      </w:r>
    </w:p>
    <w:p>
      <w:r>
        <w:rPr>
          <w:b/>
          <w:i w:val="0"/>
        </w:rPr>
        <w:t>Q</w:t>
      </w:r>
      <w:r>
        <w:rPr>
          <w:b/>
          <w:i w:val="0"/>
        </w:rPr>
        <w:t>uy định tài sản có giá trị lớn sử dụng vào mục đích kinh doanh,</w:t>
      </w:r>
      <w:r>
        <w:rPr>
          <w:b w:val="0"/>
          <w:i w:val="0"/>
        </w:rPr>
        <w:t xml:space="preserve"> </w:t>
      </w:r>
      <w:r>
        <w:rPr>
          <w:b/>
          <w:i w:val="0"/>
        </w:rPr>
        <w:t>cho thuê</w:t>
      </w:r>
    </w:p>
    <w:p>
      <w:r>
        <w:rPr>
          <w:b w:val="0"/>
          <w:i w:val="0"/>
        </w:rPr>
        <w:t xml:space="preserve"> </w:t>
      </w:r>
      <w:r>
        <w:rPr>
          <w:b/>
          <w:i w:val="0"/>
        </w:rPr>
        <w:t>tại các đơn vị sự nghiệp công lập thuộc phạm vi quản lý của tỉnh Phú Thọ</w:t>
      </w:r>
    </w:p>
    <w:p>
      <w:r>
        <w:rPr>
          <w:b/>
          <w:i w:val="0"/>
        </w:rPr>
        <w:t>ỦY</w:t>
      </w:r>
      <w:r>
        <w:rPr>
          <w:b/>
          <w:i w:val="0"/>
        </w:rPr>
        <w:t xml:space="preserve"> BAN NHÂN DÂN TỈNH PHÚ THỌ</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Quản lý, sử dụng tài sản công ngày 21 tháng 6 năm 2017;</w:t>
      </w:r>
    </w:p>
    <w:p>
      <w:r>
        <w:rPr>
          <w:b w:val="0"/>
          <w:i/>
        </w:rPr>
        <w:t>Căn cứ Nghị định số 151/2017/NĐ-CP ngày 26 tháng 12 năm 2017 của Chính phủ quy định chi tiết một số điều của Luật Quản lý, sử dụng tài sản c</w:t>
      </w:r>
      <w:r>
        <w:rPr>
          <w:b w:val="0"/>
          <w:i/>
        </w:rPr>
        <w:t>ô</w:t>
      </w:r>
      <w:r>
        <w:rPr>
          <w:b w:val="0"/>
          <w:i/>
        </w:rPr>
        <w:t>ng</w:t>
      </w:r>
      <w:r>
        <w:rPr>
          <w:b w:val="0"/>
          <w:i/>
        </w:rPr>
        <w:t>;</w:t>
      </w:r>
    </w:p>
    <w:p>
      <w:r>
        <w:rPr>
          <w:b w:val="0"/>
          <w:i/>
        </w:rPr>
        <w:t xml:space="preserve">Căn cứ Thông tư số </w:t>
      </w:r>
      <w:r>
        <w:rPr>
          <w:b w:val="0"/>
          <w:i/>
        </w:rPr>
        <w:t>144/2017/TT-BTC</w:t>
      </w:r>
      <w:r>
        <w:rPr>
          <w:b w:val="0"/>
          <w:i/>
        </w:rPr>
        <w:t xml:space="preserve"> </w:t>
      </w:r>
      <w:r>
        <w:rPr>
          <w:b w:val="0"/>
          <w:i/>
        </w:rPr>
        <w:t>ngày 29</w:t>
      </w:r>
      <w:r>
        <w:rPr>
          <w:b w:val="0"/>
          <w:i/>
        </w:rPr>
        <w:t xml:space="preserve"> tháng </w:t>
      </w:r>
      <w:r>
        <w:rPr>
          <w:b w:val="0"/>
          <w:i/>
        </w:rPr>
        <w:t>12</w:t>
      </w:r>
      <w:r>
        <w:rPr>
          <w:b w:val="0"/>
          <w:i/>
        </w:rPr>
        <w:t xml:space="preserve"> năm </w:t>
      </w:r>
      <w:r>
        <w:rPr>
          <w:b w:val="0"/>
          <w:i/>
        </w:rPr>
        <w:t xml:space="preserve">2017 của Bộ trưởng Bộ Tài chính hướng dẫn một số nội dung của Nghị định số </w:t>
      </w:r>
      <w:r>
        <w:rPr>
          <w:b w:val="0"/>
          <w:i/>
        </w:rPr>
        <w:t>151/2017/NĐ-CP</w:t>
      </w:r>
      <w:r>
        <w:rPr>
          <w:b w:val="0"/>
          <w:i/>
        </w:rPr>
        <w:t xml:space="preserve"> ngày 26</w:t>
      </w:r>
      <w:r>
        <w:rPr>
          <w:b w:val="0"/>
          <w:i/>
        </w:rPr>
        <w:t xml:space="preserve"> tháng </w:t>
      </w:r>
      <w:r>
        <w:rPr>
          <w:b w:val="0"/>
          <w:i/>
        </w:rPr>
        <w:t>12</w:t>
      </w:r>
      <w:r>
        <w:rPr>
          <w:b w:val="0"/>
          <w:i/>
        </w:rPr>
        <w:t xml:space="preserve"> năm </w:t>
      </w:r>
      <w:r>
        <w:rPr>
          <w:b w:val="0"/>
          <w:i/>
        </w:rPr>
        <w:t xml:space="preserve">2017 của Chính phủ quy định chi tiết một số điều của Luật </w:t>
      </w:r>
      <w:r>
        <w:rPr>
          <w:b w:val="0"/>
          <w:i/>
        </w:rPr>
        <w:t>Q</w:t>
      </w:r>
      <w:r>
        <w:rPr>
          <w:b w:val="0"/>
          <w:i/>
        </w:rPr>
        <w:t>uản lý, sử dụng tài sản công;</w:t>
      </w:r>
    </w:p>
    <w:p>
      <w:r>
        <w:rPr>
          <w:b w:val="0"/>
          <w:i/>
        </w:rPr>
        <w:t>Căn cứ Nghị quyết số 04/2018/NQ-HĐND ngày 20 tháng 7 năm 2018 của Hội đồng nhân dân tỉnh Phú Thọ ban hành quy định về phân cấp quản lý tài sản công tại cơ quan, tổ chức, đơn vị thuộc phạm vi quản lý của tỉnh Phú Thọ;</w:t>
      </w:r>
    </w:p>
    <w:p>
      <w:r>
        <w:rPr>
          <w:b w:val="0"/>
          <w:i/>
        </w:rPr>
        <w:t>Theo đề nghị của Giám đốc Sở Tài chính tại Văn bản số 91/TTr-STC ngày 06/8/2019.</w:t>
      </w:r>
    </w:p>
    <w:p>
      <w:r>
        <w:rPr>
          <w:b/>
          <w:i w:val="0"/>
        </w:rPr>
        <w:t>QUYẾT ĐỊNH:</w:t>
      </w:r>
    </w:p>
    <w:p>
      <w:r>
        <w:rPr>
          <w:b/>
          <w:i w:val="0"/>
        </w:rPr>
        <w:t>Điều 1. Phạm v</w:t>
      </w:r>
      <w:r>
        <w:rPr>
          <w:b/>
          <w:i w:val="0"/>
        </w:rPr>
        <w:t xml:space="preserve">i </w:t>
      </w:r>
      <w:r>
        <w:rPr>
          <w:b/>
          <w:i w:val="0"/>
        </w:rPr>
        <w:t>điều chỉnh và đối tượng áp dụng</w:t>
      </w:r>
    </w:p>
    <w:p>
      <w:r>
        <w:rPr>
          <w:b w:val="0"/>
          <w:i w:val="0"/>
        </w:rPr>
        <w:t>1. Phạm vi điều chỉnh</w:t>
      </w:r>
    </w:p>
    <w:p>
      <w:r>
        <w:rPr>
          <w:b w:val="0"/>
          <w:i w:val="0"/>
        </w:rPr>
        <w:t>Quyết định này quy định tài sản được xác định là tài sản có giá trị lớn trong trường hợp sử dụng tài sản công vào mục đích kinh doanh, cho thuê tại các đơn vị sự nghiệp công lập thuộc phạm vi quản lý của tỉnh Phú Thọ (trừ tài sản là cơ sở hoạt động của đơn vị sự nghiệp công lập)</w:t>
      </w:r>
    </w:p>
    <w:p>
      <w:r>
        <w:rPr>
          <w:b w:val="0"/>
          <w:i w:val="0"/>
        </w:rPr>
        <w:t>2. Đối tượng áp dụng</w:t>
      </w:r>
    </w:p>
    <w:p>
      <w:r>
        <w:rPr>
          <w:b w:val="0"/>
          <w:i w:val="0"/>
        </w:rPr>
        <w:t>Đơn vị sự nghiệp công lập và các cơ quan, tổ chức, cá nhân có liên quan đến việc phê duyệt đề án sử dụng tài sản công vào mục đích kinh doanh, cho thuê tại các đơn vị sự nghiệp công lập thuộc phạm vi quản lý của tỉnh Phú Thọ.</w:t>
      </w:r>
    </w:p>
    <w:p>
      <w:r>
        <w:rPr>
          <w:b/>
          <w:i w:val="0"/>
        </w:rPr>
        <w:t>Điều 2</w:t>
      </w:r>
      <w:r>
        <w:rPr>
          <w:b/>
          <w:i w:val="0"/>
        </w:rPr>
        <w:t>. Giá trị tài sản lớn trong trường hợp sử dụng tài sản công vào mục đích kinh doanh, cho thuê</w:t>
      </w:r>
    </w:p>
    <w:p>
      <w:r>
        <w:rPr>
          <w:b w:val="0"/>
          <w:i w:val="0"/>
        </w:rPr>
        <w:t>Tài sản có giá trị lớn sử dụng vào mục đích kinh doanh, cho thuê được quy định tại Khoản 2 Điều 44 Nghị định số 151/2017/NĐ-CP ngày 26 tháng 12 năm 2017 của Chính phủ quy định chi tiết một số điều của Luật Quản lý, sử dụng tài sản công là tài sản có nguyên giá theo sổ kế toán từ 500 triệu đồng trở lên/01 đơn vị tài sản.</w:t>
      </w:r>
    </w:p>
    <w:p>
      <w:r>
        <w:rPr>
          <w:b/>
          <w:i w:val="0"/>
        </w:rPr>
        <w:t>Điều 3</w:t>
      </w:r>
      <w:r>
        <w:rPr>
          <w:b/>
          <w:i w:val="0"/>
        </w:rPr>
        <w:t xml:space="preserve">. Tổ chức thực hiện      </w:t>
      </w:r>
    </w:p>
    <w:p>
      <w:r>
        <w:rPr>
          <w:b w:val="0"/>
          <w:i w:val="0"/>
        </w:rPr>
        <w:t>Thủ trưởng các Sở, ban, ngành, đơn vị sự nghiệp công lập thuộc tỉnh; Chủ tịch Ủy ban nhân dân các huyện, thị xã, thành phố chịu trách nhiệm thực hiện và hướng dẫn các đơn vị sự nghiệp công lập thuộc phạm vi quản lý triển khai, thực hiện Quyết định này.</w:t>
      </w:r>
    </w:p>
    <w:p>
      <w:r>
        <w:rPr>
          <w:b/>
          <w:i w:val="0"/>
        </w:rPr>
        <w:t>Điều 4</w:t>
      </w:r>
      <w:r>
        <w:rPr>
          <w:b/>
          <w:i w:val="0"/>
        </w:rPr>
        <w:t>. Hi</w:t>
      </w:r>
      <w:r>
        <w:rPr>
          <w:b/>
          <w:i w:val="0"/>
        </w:rPr>
        <w:t>ệu lực thi hành</w:t>
      </w:r>
    </w:p>
    <w:p>
      <w:r>
        <w:rPr>
          <w:b w:val="0"/>
          <w:i w:val="0"/>
        </w:rPr>
        <w:t>Quyết định này có hiệu lực kể từ ngày 15 tháng 3 năm 2020.</w:t>
      </w:r>
    </w:p>
    <w:p>
      <w:r>
        <w:rPr>
          <w:b w:val="0"/>
          <w:i w:val="0"/>
        </w:rPr>
        <w:t>2.  Chánh Văn phòng Ủy ban nhân dân tỉnh; Giám đốc Sở Tài chính; Thủ trưởng các sở, ban, ngành; Thủ trưởng các đơn vị sự nghiệp công lập; Chủ tịch Ủy ban nhân dân các huyện, thành, thị và các cơ quan, tổ chức, đơn vị, cá nhân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