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103/2009/NĐ-CP Ban hành Quy chế hoạt động văn hóa và kinh doanh dịch vụ văn hóa công cộng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103/2009/NĐ-CP</w:t>
      </w:r>
      <w:r>
        <w:rPr>
          <w:b w:val="0"/>
          <w:i w:val="0"/>
        </w:rPr>
        <w:br/>
      </w:r>
      <w:r>
        <w:rPr>
          <w:b w:val="0"/>
          <w:i w:val="0"/>
        </w:rPr>
        <w:br/>
      </w:r>
      <w:r>
        <w:rPr>
          <w:b w:val="0"/>
          <w:i/>
        </w:rPr>
        <w:br/>
      </w:r>
      <w:r>
        <w:rPr>
          <w:b w:val="0"/>
          <w:i/>
        </w:rPr>
        <w:t>Hà Nội, ngày 06 tháng 11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103/2009/NĐ-CP</w:t>
      </w:r>
      <w:r>
        <w:rPr>
          <w:b w:val="0"/>
          <w:i w:val="0"/>
        </w:rPr>
        <w:br/>
      </w:r>
      <w:r>
        <w:rPr>
          <w:b w:val="0"/>
          <w:i w:val="0"/>
        </w:rPr>
        <w:br/>
      </w:r>
      <w:r>
        <w:rPr>
          <w:b w:val="0"/>
          <w:i/>
        </w:rPr>
        <w:br/>
      </w:r>
      <w:r>
        <w:rPr>
          <w:b w:val="0"/>
          <w:i/>
        </w:rPr>
        <w:t>Hà Nội, ngày 06 tháng 11 năm 2009</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103/2009/NĐ-CP</w:t>
      </w:r>
      <w:r>
        <w:rPr>
          <w:b w:val="0"/>
          <w:i w:val="0"/>
        </w:rPr>
        <w:br/>
      </w:r>
      <w:r>
        <w:rPr>
          <w:b w:val="0"/>
          <w:i w:val="0"/>
        </w:rPr>
        <w:br/>
      </w:r>
      <w:r>
        <w:rPr>
          <w:b w:val="0"/>
          <w:i/>
        </w:rPr>
        <w:br/>
      </w:r>
      <w:r>
        <w:rPr>
          <w:b w:val="0"/>
          <w:i/>
        </w:rPr>
        <w:t>Hà Nội, ngày 06 tháng 11 năm 2009</w:t>
      </w:r>
      <w:r>
        <w:rPr>
          <w:b w:val="0"/>
          <w:i/>
        </w:rPr>
        <w:br/>
      </w:r>
      <w:r>
        <w:rPr>
          <w:b w:val="0"/>
          <w:i w:val="0"/>
        </w:rPr>
        <w:br/>
      </w:r>
    </w:p>
    <w:p>
      <w:pPr>
        <w:jc w:val="center"/>
      </w:pPr>
      <w:r>
        <w:rPr>
          <w:b w:val="0"/>
          <w:i w:val="0"/>
        </w:rPr>
        <w:br/>
      </w:r>
      <w:r>
        <w:rPr>
          <w:b w:val="0"/>
          <w:i w:val="0"/>
        </w:rPr>
        <w:t>Số: 103/2009/NĐ-CP</w:t>
      </w:r>
      <w:r>
        <w:rPr>
          <w:b w:val="0"/>
          <w:i w:val="0"/>
        </w:rPr>
        <w:br/>
      </w:r>
    </w:p>
    <w:p>
      <w:pPr>
        <w:jc w:val="center"/>
      </w:pPr>
      <w:r>
        <w:rPr>
          <w:b w:val="0"/>
          <w:i w:val="0"/>
        </w:rPr>
        <w:br/>
      </w:r>
      <w:r>
        <w:rPr>
          <w:b w:val="0"/>
          <w:i w:val="0"/>
        </w:rPr>
        <w:t>Hà Nội, ngày 06 tháng 11 năm 2009</w:t>
      </w:r>
      <w:r>
        <w:rPr>
          <w:b w:val="0"/>
          <w:i w:val="0"/>
        </w:rPr>
        <w:br/>
      </w:r>
    </w:p>
    <w:p>
      <w:r>
        <w:rPr>
          <w:b/>
          <w:i w:val="0"/>
        </w:rPr>
        <w:t>NGHỊ ĐỊNH</w:t>
      </w:r>
    </w:p>
    <w:p>
      <w:r>
        <w:rPr>
          <w:b/>
          <w:i w:val="0"/>
        </w:rPr>
        <w:t>Ban hành Quy chế hoạt động văn hóa và kinh doanh dịch vụ văn hóa công cộng</w:t>
      </w:r>
    </w:p>
    <w:p>
      <w:r>
        <w:rPr>
          <w:b/>
          <w:i w:val="0"/>
        </w:rPr>
        <w:t>CHÍNH PHỦ</w:t>
      </w:r>
    </w:p>
    <w:p>
      <w:r>
        <w:rPr>
          <w:b w:val="0"/>
          <w:i w:val="0"/>
        </w:rPr>
        <w:t>Căn cứ Luật Tổ chức Chính phủ ngày 25 tháng 12 năm 2001;</w:t>
      </w:r>
      <w:r>
        <w:br/>
      </w:r>
      <w:r>
        <w:rPr>
          <w:b w:val="0"/>
          <w:i w:val="0"/>
        </w:rPr>
        <w:t>Xét đề nghị của Bộ trưởng Bộ Văn hóa, Thể thao và Du lịch,</w:t>
      </w:r>
    </w:p>
    <w:p>
      <w:r>
        <w:rPr>
          <w:b/>
          <w:i w:val="0"/>
        </w:rPr>
        <w:t>NGHỊ ĐỊNH:</w:t>
      </w:r>
    </w:p>
    <w:p>
      <w:r>
        <w:rPr>
          <w:b/>
          <w:i w:val="0"/>
        </w:rPr>
        <w:t xml:space="preserve">Điều 1. </w:t>
      </w:r>
      <w:r>
        <w:rPr>
          <w:b w:val="0"/>
          <w:i w:val="0"/>
        </w:rPr>
        <w:t>Ban hành kèm theo Nghị định này Quy chế hoạt động văn hóa và kinh doanh dịch vụ văn hóa công cộng.</w:t>
      </w:r>
    </w:p>
    <w:p>
      <w:r>
        <w:rPr>
          <w:b/>
          <w:i w:val="0"/>
        </w:rPr>
        <w:t xml:space="preserve">Điều 2. </w:t>
      </w:r>
      <w:r>
        <w:rPr>
          <w:b w:val="0"/>
          <w:i w:val="0"/>
        </w:rPr>
        <w:t>Hiệu lực của Nghị định</w:t>
      </w:r>
    </w:p>
    <w:p>
      <w:r>
        <w:rPr>
          <w:b w:val="0"/>
          <w:i w:val="0"/>
        </w:rPr>
        <w:t>Nghị định này có hiệu lực thi hành từ ngày 01 tháng 01 năm 2010 và thay thế Nghị định số 11/2006/NĐ-CP ngày 18 tháng 01 năm 2006 của Chính phủ ban hành Quy chế hoạt động văn hóa và kinh doanh dịch vụ văn hóa công cộng.</w:t>
      </w:r>
    </w:p>
    <w:p>
      <w:r>
        <w:rPr>
          <w:b/>
          <w:i w:val="0"/>
        </w:rPr>
        <w:t xml:space="preserve">Điều 3. </w:t>
      </w:r>
      <w:r>
        <w:rPr>
          <w:b w:val="0"/>
          <w:i w:val="0"/>
        </w:rPr>
        <w:t>Cấp mới giấy chứng nhận đăng ký kinh doanh và giấy phép kinh doanh vũ trường, karaoke.</w:t>
      </w:r>
    </w:p>
    <w:p>
      <w:r>
        <w:rPr>
          <w:b w:val="0"/>
          <w:i w:val="0"/>
        </w:rPr>
        <w:t>Các tỉnh, thành phố trực thuộc Trung ương đã phê duyệt quy hoạch vũ trường, karaoke theo quy định tại Quy chế hoạt động văn hóa và kinh doanh dịch vụ văn hóa công cộng ban hành kèm theo Nghị định số 11/2006/NĐ-CP ngày 18 tháng 01 năm 2006 của Chính phủ và Chỉ thị 17/2005/CT-TTg ngày 25 tháng 5 năm 2005 của Thủ tướng Chính phủ về chấn chỉnh các hoạt động tiêu cực trong quán bar, nhà hàng karaoke, vũ trường được tiếp tục cấp mới giấy chứng nhận đăng ký kinh doanh và giấy phép kinh doanh theo đúng quy hoạch đã được phê duyệt.</w:t>
      </w:r>
    </w:p>
    <w:p>
      <w:r>
        <w:rPr>
          <w:b/>
          <w:i w:val="0"/>
        </w:rPr>
        <w:t xml:space="preserve">Điều 4. </w:t>
      </w:r>
      <w:r>
        <w:rPr>
          <w:b w:val="0"/>
          <w:i w:val="0"/>
        </w:rPr>
        <w:t>Trách nhiệm thực hiện</w:t>
      </w:r>
    </w:p>
    <w:p>
      <w:r>
        <w:rPr>
          <w:b w:val="0"/>
          <w:i w:val="0"/>
        </w:rPr>
        <w:t>1. Bộ trưởng Bộ Văn hóa, Thể thao và Du lịch chịu trách nhiệm hướng dẫn thi hành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val="0"/>
        </w:rPr>
        <w:br/>
      </w:r>
      <w:r>
        <w:rPr>
          <w:b/>
          <w:i w:val="0"/>
        </w:rPr>
        <w:t>(Đã ký)</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val="0"/>
        </w:rPr>
        <w:br/>
      </w:r>
      <w:r>
        <w:rPr>
          <w:b/>
          <w:i w:val="0"/>
        </w:rPr>
        <w:t>(Đã ký)</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val="0"/>
          <w:i w:val="0"/>
        </w:rPr>
        <w:br/>
      </w:r>
      <w:r>
        <w:rPr>
          <w:b w:val="0"/>
          <w:i w:val="0"/>
        </w:rPr>
        <w:t>(Đã ký)</w:t>
      </w:r>
      <w:r>
        <w:rPr>
          <w:b w:val="0"/>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